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b843d437b74770" /></Relationships>
</file>

<file path=word/document.xml><?xml version="1.0" encoding="utf-8"?>
<w:document xmlns:w="http://schemas.openxmlformats.org/wordprocessingml/2006/main">
  <w:body>
    <w:p>
      <w:r>
        <w:rPr>
          <w:rFonts w:ascii="Segoe UI" w:hAnsi="Segoe UI" w:cs="Segoe UI"/>
          <w:sz w:val="28"/>
          <w:b/>
        </w:rPr>
        <w:t xml:space="preserve">Karpaty Advisory s. r. o.</w:t>
      </w:r>
    </w:p>
    <w:p>
      <w:r>
        <w:rPr>
          <w:rFonts w:ascii="Segoe UI" w:hAnsi="Segoe UI" w:cs="Segoe UI"/>
          <w:sz w:val="18"/>
        </w:rPr>
        <w:t xml:space="preserve">Námestie SNP 15, 811 01 Bratislava</w:t>
      </w:r>
    </w:p>
    <w:p>
      <w:r>
        <w:rPr>
          <w:rFonts w:ascii="Segoe UI" w:hAnsi="Segoe UI" w:cs="Segoe UI"/>
          <w:sz w:val="18"/>
        </w:rPr>
        <w:t xml:space="preserve">IČO 44 220 118 · IČ DPH SK2022684410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6"/>
          <w:b/>
        </w:rPr>
        <w:t xml:space="preserve">Interný predpis · nda</w:t>
      </w:r>
    </w:p>
    <w:p>
      <w:r>
        <w:rPr>
          <w:rFonts w:ascii="Segoe UI" w:hAnsi="Segoe UI" w:cs="Segoe UI"/>
          <w:sz w:val="18"/>
        </w:rPr>
        <w:t xml:space="preserve">Bratislava · 27. 2. 2026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2"/>
        </w:rPr>
        <w:t xml:space="preserve">NDA and confidentiality (CON-NDA-02)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Issuer: Nivy Advisory s. r. o. · IČO 52 109 338 · Mlynské nivy 16, 821 09 Bratislava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A mutual non-disclosure agreement is preferred; a one-way agreement drafted by the client goes to legal review first.</w:t>
      </w:r>
    </w:p>
    <w:p>
      <w:r>
        <w:rPr>
          <w:rFonts w:ascii="Segoe UI" w:hAnsi="Segoe UI" w:cs="Segoe UI"/>
          <w:sz w:val="22"/>
        </w:rPr>
        <w:t xml:space="preserve">Client material is trade secret information under §17 of the Commercial Code, so it is protected only while we keep it confidential — that is a contractual and a statutory obligation at the same time.</w:t>
      </w:r>
    </w:p>
    <w:p>
      <w:r>
        <w:rPr>
          <w:rFonts w:ascii="Segoe UI" w:hAnsi="Segoe UI" w:cs="Segoe UI"/>
          <w:sz w:val="22"/>
        </w:rPr>
        <w:t xml:space="preserve">Client data stays in the approved repositories. Personal drives, private mailboxes and consumer AI assistants are not approved and must not receive client files.</w:t>
      </w:r>
    </w:p>
    <w:p>
      <w:r>
        <w:rPr>
          <w:rFonts w:ascii="Segoe UI" w:hAnsi="Segoe UI" w:cs="Segoe UI"/>
          <w:sz w:val="22"/>
        </w:rPr>
        <w:t xml:space="preserve">Where an engagement involves personal data, the firm acts as processor under a data processing agreement and processes nothing beyond the client's instruction.</w:t>
      </w:r>
    </w:p>
    <w:p>
      <w:r>
        <w:rPr>
          <w:rFonts w:ascii="Segoe UI" w:hAnsi="Segoe UI" w:cs="Segoe UI"/>
          <w:sz w:val="22"/>
        </w:rPr>
        <w:t xml:space="preserve">A subcontractor is bound to equivalent confidentiality in writing before it gets access, and the client is told which subcontractors are used.</w:t>
      </w:r>
    </w:p>
    <w:p>
      <w:r>
        <w:rPr>
          <w:rFonts w:ascii="Segoe UI" w:hAnsi="Segoe UI" w:cs="Segoe UI"/>
          <w:sz w:val="22"/>
        </w:rPr>
        <w:t xml:space="preserve">At the end of the engagement, confidential material is returned or destroyed on the client's request, with the working papers the firm must retain listed as an exception.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18"/>
        </w:rPr>
        <w:t xml:space="preserve">Schválil(a): Ing. Tomáš Belko, partner</w:t>
      </w:r>
    </w:p>
  </w:body>
</w:document>
</file>