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75bedb18306403c" /></Relationships>
</file>

<file path=word/document.xml><?xml version="1.0" encoding="utf-8"?>
<w:document xmlns:w="http://schemas.openxmlformats.org/wordprocessingml/2006/main">
  <w:body>
    <w:p>
      <w:r>
        <w:rPr>
          <w:rFonts w:ascii="Segoe UI" w:hAnsi="Segoe UI" w:cs="Segoe UI"/>
          <w:sz w:val="28"/>
          <w:b/>
        </w:rPr>
        <w:t xml:space="preserve">Karpaty Advisory s. r. o.</w:t>
      </w:r>
    </w:p>
    <w:p>
      <w:r>
        <w:rPr>
          <w:rFonts w:ascii="Segoe UI" w:hAnsi="Segoe UI" w:cs="Segoe UI"/>
          <w:sz w:val="18"/>
        </w:rPr>
        <w:t xml:space="preserve">Námestie SNP 15, 811 01 Bratislava</w:t>
      </w:r>
    </w:p>
    <w:p>
      <w:r>
        <w:rPr>
          <w:rFonts w:ascii="Segoe UI" w:hAnsi="Segoe UI" w:cs="Segoe UI"/>
          <w:sz w:val="18"/>
        </w:rPr>
        <w:t xml:space="preserve">IČO 44 220 118 · IČ DPH SK2022684410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6"/>
          <w:b/>
        </w:rPr>
        <w:t xml:space="preserve">Interný predpis · rates tm</w:t>
      </w:r>
    </w:p>
    <w:p>
      <w:r>
        <w:rPr>
          <w:rFonts w:ascii="Segoe UI" w:hAnsi="Segoe UI" w:cs="Segoe UI"/>
          <w:sz w:val="18"/>
        </w:rPr>
        <w:t xml:space="preserve">Bratislava · 27. 2. 2026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22"/>
        </w:rPr>
        <w:t xml:space="preserve">Time and materials rates (CON-TM-04)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Issuer: Nivy Advisory s. r. o. · IČO 52 109 338 · Mlynské nivy 16, 821 09 Bratislava</w:t>
      </w:r>
    </w:p>
    <w:p>
      <w:r>
        <w:rPr>
          <w:rFonts w:ascii="Segoe UI" w:hAnsi="Segoe UI" w:cs="Segoe UI"/>
          <w:sz w:val="22"/>
        </w:rPr>
        <w:t xml:space="preserve"> </w:t>
      </w:r>
    </w:p>
    <w:p>
      <w:r>
        <w:rPr>
          <w:rFonts w:ascii="Segoe UI" w:hAnsi="Segoe UI" w:cs="Segoe UI"/>
          <w:sz w:val="22"/>
        </w:rPr>
        <w:t xml:space="preserve">Rate bands for Partner, Manager and Consultant are published in the rate card and quoted excluding VAT; the 23% Slovak VAT rate is added on the invoice.</w:t>
      </w:r>
    </w:p>
    <w:p>
      <w:r>
        <w:rPr>
          <w:rFonts w:ascii="Segoe UI" w:hAnsi="Segoe UI" w:cs="Segoe UI"/>
          <w:sz w:val="22"/>
        </w:rPr>
        <w:t xml:space="preserve">Time is recorded daily in 15-minute increments with a narrative the client can read; a week reconstructed on Friday is not acceptable.</w:t>
      </w:r>
    </w:p>
    <w:p>
      <w:r>
        <w:rPr>
          <w:rFonts w:ascii="Segoe UI" w:hAnsi="Segoe UI" w:cs="Segoe UI"/>
          <w:sz w:val="22"/>
        </w:rPr>
        <w:t xml:space="preserve">Overtime is billable only with prior written client approval.</w:t>
      </w:r>
    </w:p>
    <w:p>
      <w:r>
        <w:rPr>
          <w:rFonts w:ascii="Segoe UI" w:hAnsi="Segoe UI" w:cs="Segoe UI"/>
          <w:sz w:val="22"/>
        </w:rPr>
        <w:t xml:space="preserve">Travel time is billed at 50% unless the statement of work says otherwise, and travel costs follow the Travel Compensation Act (zákon č. 283/2002 Z. z.) rates for meal allowance and private-car mileage.</w:t>
      </w:r>
    </w:p>
    <w:p>
      <w:r>
        <w:rPr>
          <w:rFonts w:ascii="Segoe UI" w:hAnsi="Segoe UI" w:cs="Segoe UI"/>
          <w:sz w:val="22"/>
        </w:rPr>
        <w:t xml:space="preserve">An expense above EUR 75 needs a receipt attached to the invoice; alcohol is never billable to a client.</w:t>
      </w:r>
    </w:p>
    <w:p>
      <w:r>
        <w:rPr>
          <w:rFonts w:ascii="Segoe UI" w:hAnsi="Segoe UI" w:cs="Segoe UI"/>
          <w:sz w:val="22"/>
        </w:rPr>
        <w:t xml:space="preserve">Where a subcontractor is used, the client is charged the agreed band, not the subcontractor's cost plus an undisclosed uplift.</w:t>
      </w:r>
    </w:p>
    <w:p>
      <w:r>
        <w:rPr>
          <w:rFonts w:ascii="Segoe UI" w:hAnsi="Segoe UI" w:cs="Segoe UI"/>
          <w:sz w:val="22"/>
        </w:rPr>
        <w:t xml:space="preserve"/>
      </w:r>
    </w:p>
    <w:p>
      <w:r>
        <w:rPr>
          <w:rFonts w:ascii="Segoe UI" w:hAnsi="Segoe UI" w:cs="Segoe UI"/>
          <w:sz w:val="18"/>
        </w:rPr>
        <w:t xml:space="preserve">Schválil(a): Ing. Tomáš Belko, partner</w:t>
      </w:r>
    </w:p>
  </w:body>
</w:document>
</file>