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749046def44238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Moser Slovakia s. r. o.</w:t>
      </w:r>
    </w:p>
    <w:p>
      <w:r>
        <w:rPr>
          <w:rFonts w:ascii="Segoe UI" w:hAnsi="Segoe UI" w:cs="Segoe UI"/>
          <w:sz w:val="18"/>
        </w:rPr>
        <w:t xml:space="preserve">Twin City C, Mlynské nivy 12, 821 09 Bratislava</w:t>
      </w:r>
    </w:p>
    <w:p>
      <w:r>
        <w:rPr>
          <w:rFonts w:ascii="Segoe UI" w:hAnsi="Segoe UI" w:cs="Segoe UI"/>
          <w:sz w:val="18"/>
        </w:rPr>
        <w:t xml:space="preserve">IČO 47 556 210 · DIČ 2022468911 · IČ DPH SK2022468911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annual leave</w:t>
      </w:r>
    </w:p>
    <w:p>
      <w:r>
        <w:rPr>
          <w:rFonts w:ascii="Segoe UI" w:hAnsi="Segoe UI" w:cs="Segoe UI"/>
          <w:sz w:val="18"/>
        </w:rPr>
        <w:t xml:space="preserve">Bratislava · 1. 3.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Annual leave — Bratislava office (HR-AL-BA)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Moser Slovakia s. r. o. · IČO 47 556 210 · Twin City C, Mlynské nivy 12, 821 09 Bratislava  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Effective: 1 January 2026 · Owner: People Operations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Employees of the Bratislava office receive 25 days of annual leave per calendar year, plus Slovak public holidays. The Labour Code (zákon č. 311/2001 Z. z., §103) sets the statutory floor at 4 weeks, rising to 5 weeks for employees who reach 33 years of age or who care for a child. Moser Slovakia grants the 5-week entitlement to every office employee from day one.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Contractors invoicing on a trade licence (živnosť) are not covered.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Booking</w:t>
      </w:r>
    </w:p>
    <w:p>
      <w:r>
        <w:rPr>
          <w:rFonts w:ascii="Segoe UI" w:hAnsi="Segoe UI" w:cs="Segoe UI"/>
          <w:sz w:val="22"/>
        </w:rPr>
        <w:t xml:space="preserve">- Leave is booked in the HR portal of Moser Slovakia, not in any group tool.</w:t>
      </w:r>
    </w:p>
    <w:p>
      <w:r>
        <w:rPr>
          <w:rFonts w:ascii="Segoe UI" w:hAnsi="Segoe UI" w:cs="Segoe UI"/>
          <w:sz w:val="22"/>
        </w:rPr>
        <w:t xml:space="preserve">- The employer approves the leave plan after consulting employee representatives.</w:t>
      </w:r>
    </w:p>
    <w:p>
      <w:r>
        <w:rPr>
          <w:rFonts w:ascii="Segoe UI" w:hAnsi="Segoe UI" w:cs="Segoe UI"/>
          <w:sz w:val="22"/>
        </w:rPr>
        <w:t xml:space="preserve">- Carry-over is limited to 5 days unless the employer orders the leave under §113.</w:t>
      </w:r>
    </w:p>
    <w:p>
      <w:r>
        <w:rPr>
          <w:rFonts w:ascii="Segoe UI" w:hAnsi="Segoe UI" w:cs="Segoe UI"/>
          <w:sz w:val="22"/>
        </w:rPr>
        <w:t xml:space="preserve">- Sick days are separate: the employer pays income compensation for the first 10 calendar days, then Sociálna poisťovňa pays sickness benefit.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This document does not apply to the Nitra plant. Do not quote 25 days to a colleague on the plant payroll.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Mgr. Zuzana Králiková, People Operations / Compliance</w:t>
      </w:r>
    </w:p>
  </w:body>
</w:document>
</file>