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71e8910f7d64929" /></Relationships>
</file>

<file path=word/document.xml><?xml version="1.0" encoding="utf-8"?>
<w:document xmlns:w="http://schemas.openxmlformats.org/wordprocessingml/2006/main">
  <w:body>
    <w:p>
      <w:r>
        <w:rPr>
          <w:rFonts w:ascii="Segoe UI" w:hAnsi="Segoe UI" w:cs="Segoe UI"/>
          <w:sz w:val="28"/>
          <w:b/>
        </w:rPr>
        <w:t xml:space="preserve">Moser Slovakia s. r. o.</w:t>
      </w:r>
    </w:p>
    <w:p>
      <w:r>
        <w:rPr>
          <w:rFonts w:ascii="Segoe UI" w:hAnsi="Segoe UI" w:cs="Segoe UI"/>
          <w:sz w:val="18"/>
        </w:rPr>
        <w:t xml:space="preserve">Twin City C, Mlynské nivy 12, 821 09 Bratislava</w:t>
      </w:r>
    </w:p>
    <w:p>
      <w:r>
        <w:rPr>
          <w:rFonts w:ascii="Segoe UI" w:hAnsi="Segoe UI" w:cs="Segoe UI"/>
          <w:sz w:val="18"/>
        </w:rPr>
        <w:t xml:space="preserve">IČO 47 556 210 · DIČ 2022468911 · IČ DPH SK2022468911</w:t>
      </w:r>
    </w:p>
    <w:p>
      <w:r>
        <w:rPr>
          <w:rFonts w:ascii="Segoe UI" w:hAnsi="Segoe UI" w:cs="Segoe UI"/>
          <w:sz w:val="22"/>
        </w:rPr>
        <w:t xml:space="preserve"/>
      </w:r>
    </w:p>
    <w:p>
      <w:r>
        <w:rPr>
          <w:rFonts w:ascii="Segoe UI" w:hAnsi="Segoe UI" w:cs="Segoe UI"/>
          <w:sz w:val="26"/>
          <w:b/>
        </w:rPr>
        <w:t xml:space="preserve">Interný predpis · expense field sales</w:t>
      </w:r>
    </w:p>
    <w:p>
      <w:r>
        <w:rPr>
          <w:rFonts w:ascii="Segoe UI" w:hAnsi="Segoe UI" w:cs="Segoe UI"/>
          <w:sz w:val="18"/>
        </w:rPr>
        <w:t xml:space="preserve">Bratislava · 1. 3. 2026</w:t>
      </w:r>
    </w:p>
    <w:p>
      <w:r>
        <w:rPr>
          <w:rFonts w:ascii="Segoe UI" w:hAnsi="Segoe UI" w:cs="Segoe UI"/>
          <w:sz w:val="22"/>
        </w:rPr>
        <w:t xml:space="preserve"/>
      </w:r>
    </w:p>
    <w:p>
      <w:r>
        <w:rPr>
          <w:rFonts w:ascii="Segoe UI" w:hAnsi="Segoe UI" w:cs="Segoe UI"/>
          <w:sz w:val="22"/>
        </w:rPr>
        <w:t xml:space="preserve">Expense policy — field sales (FIN-EXP-50)</w:t>
      </w:r>
    </w:p>
    <w:p>
      <w:r>
        <w:rPr>
          <w:rFonts w:ascii="Segoe UI" w:hAnsi="Segoe UI" w:cs="Segoe UI"/>
          <w:sz w:val="22"/>
        </w:rPr>
        <w:t xml:space="preserve"> </w:t>
      </w:r>
    </w:p>
    <w:p>
      <w:r>
        <w:rPr>
          <w:rFonts w:ascii="Segoe UI" w:hAnsi="Segoe UI" w:cs="Segoe UI"/>
          <w:sz w:val="22"/>
        </w:rPr>
        <w:t xml:space="preserve">Issuer: Moser Slovakia s. r. o. · IČO 47 556 210 · Twin City C, Mlynské nivy 12, 821 09 Bratislava</w:t>
      </w:r>
    </w:p>
    <w:p>
      <w:r>
        <w:rPr>
          <w:rFonts w:ascii="Segoe UI" w:hAnsi="Segoe UI" w:cs="Segoe UI"/>
          <w:sz w:val="22"/>
        </w:rPr>
        <w:t xml:space="preserve"> </w:t>
      </w:r>
    </w:p>
    <w:p>
      <w:r>
        <w:rPr>
          <w:rFonts w:ascii="Segoe UI" w:hAnsi="Segoe UI" w:cs="Segoe UI"/>
          <w:sz w:val="22"/>
        </w:rPr>
        <w:t xml:space="preserve">Effective: 4 February 2026  </w:t>
      </w:r>
    </w:p>
    <w:p>
      <w:r>
        <w:rPr>
          <w:rFonts w:ascii="Segoe UI" w:hAnsi="Segoe UI" w:cs="Segoe UI"/>
          <w:sz w:val="22"/>
        </w:rPr>
        <w:t xml:space="preserve">Owner: Field Finance, Moser Slovakia s. r. o.</w:t>
      </w:r>
    </w:p>
    <w:p>
      <w:r>
        <w:rPr>
          <w:rFonts w:ascii="Segoe UI" w:hAnsi="Segoe UI" w:cs="Segoe UI"/>
          <w:sz w:val="22"/>
        </w:rPr>
        <w:t xml:space="preserve"> </w:t>
      </w:r>
    </w:p>
    <w:p>
      <w:r>
        <w:rPr>
          <w:rFonts w:ascii="Segoe UI" w:hAnsi="Segoe UI" w:cs="Segoe UI"/>
          <w:sz w:val="22"/>
        </w:rPr>
        <w:t xml:space="preserve">For field sales roles only, receipts are required for expenses over EUR 50. This higher threshold does not apply to corporate staff in Bratislava. A per-diem meal still needs an itemised receipt once it exceeds EUR 50.</w:t>
      </w:r>
    </w:p>
    <w:p>
      <w:r>
        <w:rPr>
          <w:rFonts w:ascii="Segoe UI" w:hAnsi="Segoe UI" w:cs="Segoe UI"/>
          <w:sz w:val="22"/>
        </w:rPr>
        <w:t xml:space="preserve"> </w:t>
      </w:r>
    </w:p>
    <w:p>
      <w:r>
        <w:rPr>
          <w:rFonts w:ascii="Segoe UI" w:hAnsi="Segoe UI" w:cs="Segoe UI"/>
          <w:sz w:val="22"/>
        </w:rPr>
        <w:t xml:space="preserve">Collision note</w:t>
      </w:r>
    </w:p>
    <w:p>
      <w:r>
        <w:rPr>
          <w:rFonts w:ascii="Segoe UI" w:hAnsi="Segoe UI" w:cs="Segoe UI"/>
          <w:sz w:val="22"/>
        </w:rPr>
        <w:t xml:space="preserve">Colleagues quote EUR 25 and EUR 50 interchangeably. Check whether the submitter sits on the field-sales cost centre before answering any question about the receipt threshold.</w:t>
      </w:r>
    </w:p>
    <w:p>
      <w:r>
        <w:rPr>
          <w:rFonts w:ascii="Segoe UI" w:hAnsi="Segoe UI" w:cs="Segoe UI"/>
          <w:sz w:val="22"/>
        </w:rPr>
        <w:t xml:space="preserve"> </w:t>
      </w:r>
    </w:p>
    <w:p>
      <w:r>
        <w:rPr>
          <w:rFonts w:ascii="Segoe UI" w:hAnsi="Segoe UI" w:cs="Segoe UI"/>
          <w:sz w:val="22"/>
        </w:rPr>
        <w:t xml:space="preserve">Cash tips above EUR 20 still need a note in the ticket even when they stay under the receipt threshold. Cash settlements between the company and any single party are capped at EUR 5,000 by the Cash Payments Act (zákon č. 394/2012 Z. z.).</w:t>
      </w:r>
    </w:p>
    <w:p>
      <w:r>
        <w:rPr>
          <w:rFonts w:ascii="Segoe UI" w:hAnsi="Segoe UI" w:cs="Segoe UI"/>
          <w:sz w:val="22"/>
        </w:rPr>
        <w:t xml:space="preserve"/>
      </w:r>
    </w:p>
    <w:p>
      <w:r>
        <w:rPr>
          <w:rFonts w:ascii="Segoe UI" w:hAnsi="Segoe UI" w:cs="Segoe UI"/>
          <w:sz w:val="18"/>
        </w:rPr>
        <w:t xml:space="preserve">Schválil(a): Mgr. Zuzana Králiková, People Operations / Compliance</w:t>
      </w:r>
    </w:p>
  </w:body>
</w:document>
</file>