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bf4087e87b84ba5" /></Relationships>
</file>

<file path=word/document.xml><?xml version="1.0" encoding="utf-8"?>
<w:document xmlns:w="http://schemas.openxmlformats.org/wordprocessingml/2006/main">
  <w:body>
    <w:p>
      <w:r>
        <w:rPr>
          <w:rFonts w:ascii="Segoe UI" w:hAnsi="Segoe UI" w:cs="Segoe UI"/>
          <w:sz w:val="28"/>
          <w:b/>
        </w:rPr>
        <w:t xml:space="preserve">Moser Slovakia s. r. o.</w:t>
      </w:r>
    </w:p>
    <w:p>
      <w:r>
        <w:rPr>
          <w:rFonts w:ascii="Segoe UI" w:hAnsi="Segoe UI" w:cs="Segoe UI"/>
          <w:sz w:val="18"/>
        </w:rPr>
        <w:t xml:space="preserve">Twin City C, Mlynské nivy 12, 821 09 Bratislava</w:t>
      </w:r>
    </w:p>
    <w:p>
      <w:r>
        <w:rPr>
          <w:rFonts w:ascii="Segoe UI" w:hAnsi="Segoe UI" w:cs="Segoe UI"/>
          <w:sz w:val="18"/>
        </w:rPr>
        <w:t xml:space="preserve">IČO 47 556 210 · DIČ 2022468911 · IČ DPH SK2022468911</w:t>
      </w:r>
    </w:p>
    <w:p>
      <w:r>
        <w:rPr>
          <w:rFonts w:ascii="Segoe UI" w:hAnsi="Segoe UI" w:cs="Segoe UI"/>
          <w:sz w:val="22"/>
        </w:rPr>
        <w:t xml:space="preserve"/>
      </w:r>
    </w:p>
    <w:p>
      <w:r>
        <w:rPr>
          <w:rFonts w:ascii="Segoe UI" w:hAnsi="Segoe UI" w:cs="Segoe UI"/>
          <w:sz w:val="26"/>
          <w:b/>
        </w:rPr>
        <w:t xml:space="preserve">Interný predpis · refund premium</w:t>
      </w:r>
    </w:p>
    <w:p>
      <w:r>
        <w:rPr>
          <w:rFonts w:ascii="Segoe UI" w:hAnsi="Segoe UI" w:cs="Segoe UI"/>
          <w:sz w:val="18"/>
        </w:rPr>
        <w:t xml:space="preserve">Bratislava · 1. 3. 2026</w:t>
      </w:r>
    </w:p>
    <w:p>
      <w:r>
        <w:rPr>
          <w:rFonts w:ascii="Segoe UI" w:hAnsi="Segoe UI" w:cs="Segoe UI"/>
          <w:sz w:val="22"/>
        </w:rPr>
        <w:t xml:space="preserve"/>
      </w:r>
    </w:p>
    <w:p>
      <w:r>
        <w:rPr>
          <w:rFonts w:ascii="Segoe UI" w:hAnsi="Segoe UI" w:cs="Segoe UI"/>
          <w:sz w:val="22"/>
        </w:rPr>
        <w:t xml:space="preserve">Premium refund — enterprise subscriptions (FIN-REF-30)</w:t>
      </w:r>
    </w:p>
    <w:p>
      <w:r>
        <w:rPr>
          <w:rFonts w:ascii="Segoe UI" w:hAnsi="Segoe UI" w:cs="Segoe UI"/>
          <w:sz w:val="22"/>
        </w:rPr>
        <w:t xml:space="preserve"> </w:t>
      </w:r>
    </w:p>
    <w:p>
      <w:r>
        <w:rPr>
          <w:rFonts w:ascii="Segoe UI" w:hAnsi="Segoe UI" w:cs="Segoe UI"/>
          <w:sz w:val="22"/>
        </w:rPr>
        <w:t xml:space="preserve">Issuer: Moser Slovakia s. r. o. · IČO 47 556 210 · Twin City C, Mlynské nivy 12, 821 09 Bratislava</w:t>
      </w:r>
    </w:p>
    <w:p>
      <w:r>
        <w:rPr>
          <w:rFonts w:ascii="Segoe UI" w:hAnsi="Segoe UI" w:cs="Segoe UI"/>
          <w:sz w:val="22"/>
        </w:rPr>
        <w:t xml:space="preserve"> </w:t>
      </w:r>
    </w:p>
    <w:p>
      <w:r>
        <w:rPr>
          <w:rFonts w:ascii="Segoe UI" w:hAnsi="Segoe UI" w:cs="Segoe UI"/>
          <w:sz w:val="22"/>
        </w:rPr>
        <w:t xml:space="preserve">Effective: 1 March 2026  </w:t>
      </w:r>
    </w:p>
    <w:p>
      <w:r>
        <w:rPr>
          <w:rFonts w:ascii="Segoe UI" w:hAnsi="Segoe UI" w:cs="Segoe UI"/>
          <w:sz w:val="22"/>
        </w:rPr>
        <w:t xml:space="preserve">Owner: Finance Operations, Moser Slovakia s. r. o.  </w:t>
      </w:r>
    </w:p>
    <w:p>
      <w:r>
        <w:rPr>
          <w:rFonts w:ascii="Segoe UI" w:hAnsi="Segoe UI" w:cs="Segoe UI"/>
          <w:sz w:val="22"/>
        </w:rPr>
        <w:t xml:space="preserve">Applies to: Premium Support and Enterprise subscription SKUs only.</w:t>
      </w:r>
    </w:p>
    <w:p>
      <w:r>
        <w:rPr>
          <w:rFonts w:ascii="Segoe UI" w:hAnsi="Segoe UI" w:cs="Segoe UI"/>
          <w:sz w:val="22"/>
        </w:rPr>
        <w:t xml:space="preserve"> </w:t>
      </w:r>
    </w:p>
    <w:p>
      <w:r>
        <w:rPr>
          <w:rFonts w:ascii="Segoe UI" w:hAnsi="Segoe UI" w:cs="Segoe UI"/>
          <w:sz w:val="22"/>
        </w:rPr>
        <w:t xml:space="preserve">Premium customers may request a refund within 30 days of the subscription start date. This 30-day window does not apply to standard catalog SKUs.</w:t>
      </w:r>
    </w:p>
    <w:p>
      <w:r>
        <w:rPr>
          <w:rFonts w:ascii="Segoe UI" w:hAnsi="Segoe UI" w:cs="Segoe UI"/>
          <w:sz w:val="22"/>
        </w:rPr>
        <w:t xml:space="preserve"> </w:t>
      </w:r>
    </w:p>
    <w:p>
      <w:r>
        <w:rPr>
          <w:rFonts w:ascii="Segoe UI" w:hAnsi="Segoe UI" w:cs="Segoe UI"/>
          <w:sz w:val="22"/>
        </w:rPr>
        <w:t xml:space="preserve">Conditions</w:t>
      </w:r>
    </w:p>
    <w:p>
      <w:r>
        <w:rPr>
          <w:rFonts w:ascii="Segoe UI" w:hAnsi="Segoe UI" w:cs="Segoe UI"/>
          <w:sz w:val="22"/>
        </w:rPr>
        <w:t xml:space="preserve">- Unused seats are refunded pro rata within 30 days.</w:t>
      </w:r>
    </w:p>
    <w:p>
      <w:r>
        <w:rPr>
          <w:rFonts w:ascii="Segoe UI" w:hAnsi="Segoe UI" w:cs="Segoe UI"/>
          <w:sz w:val="22"/>
        </w:rPr>
        <w:t xml:space="preserve">- Once named users have been provisioned for more than 7 days, seat refunds need a Premium CSM ticket.</w:t>
      </w:r>
    </w:p>
    <w:p>
      <w:r>
        <w:rPr>
          <w:rFonts w:ascii="Segoe UI" w:hAnsi="Segoe UI" w:cs="Segoe UI"/>
          <w:sz w:val="22"/>
        </w:rPr>
        <w:t xml:space="preserve">- Professional services already delivered are non-refundable.</w:t>
      </w:r>
    </w:p>
    <w:p>
      <w:r>
        <w:rPr>
          <w:rFonts w:ascii="Segoe UI" w:hAnsi="Segoe UI" w:cs="Segoe UI"/>
          <w:sz w:val="22"/>
        </w:rPr>
        <w:t xml:space="preserve"> </w:t>
      </w:r>
    </w:p>
    <w:p>
      <w:r>
        <w:rPr>
          <w:rFonts w:ascii="Segoe UI" w:hAnsi="Segoe UI" w:cs="Segoe UI"/>
          <w:sz w:val="22"/>
        </w:rPr>
        <w:t xml:space="preserve">Collision note</w:t>
      </w:r>
    </w:p>
    <w:p>
      <w:r>
        <w:rPr>
          <w:rFonts w:ascii="Segoe UI" w:hAnsi="Segoe UI" w:cs="Segoe UI"/>
          <w:sz w:val="22"/>
        </w:rPr>
        <w:t xml:space="preserve">Agents regularly confuse this 30-day Premium rule with the 14-day standard catalog refund. Check the SKU class in the order before quoting any window.</w:t>
      </w:r>
    </w:p>
    <w:p>
      <w:r>
        <w:rPr>
          <w:rFonts w:ascii="Segoe UI" w:hAnsi="Segoe UI" w:cs="Segoe UI"/>
          <w:sz w:val="22"/>
        </w:rPr>
        <w:t xml:space="preserve"/>
      </w:r>
    </w:p>
    <w:p>
      <w:r>
        <w:rPr>
          <w:rFonts w:ascii="Segoe UI" w:hAnsi="Segoe UI" w:cs="Segoe UI"/>
          <w:sz w:val="18"/>
        </w:rPr>
        <w:t xml:space="preserve">Schválil(a): Mgr. Zuzana Králiková, People Operations / Compliance</w:t>
      </w:r>
    </w:p>
  </w:body>
</w:document>
</file>