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3485a8ab964b72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Moser Slovakia s. r. o.</w:t>
      </w:r>
    </w:p>
    <w:p>
      <w:r>
        <w:rPr>
          <w:rFonts w:ascii="Segoe UI" w:hAnsi="Segoe UI" w:cs="Segoe UI"/>
          <w:sz w:val="18"/>
        </w:rPr>
        <w:t xml:space="preserve">Twin City C, Mlynské nivy 12, 821 09 Bratislava</w:t>
      </w:r>
    </w:p>
    <w:p>
      <w:r>
        <w:rPr>
          <w:rFonts w:ascii="Segoe UI" w:hAnsi="Segoe UI" w:cs="Segoe UI"/>
          <w:sz w:val="18"/>
        </w:rPr>
        <w:t xml:space="preserve">IČO 47 556 210 · DIČ 2022468911 · IČ DPH SK2022468911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returns policy</w:t>
      </w:r>
    </w:p>
    <w:p>
      <w:r>
        <w:rPr>
          <w:rFonts w:ascii="Segoe UI" w:hAnsi="Segoe UI" w:cs="Segoe UI"/>
          <w:sz w:val="18"/>
        </w:rPr>
        <w:t xml:space="preserve">Bratislava · 1.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Returns policy (OPS-RET-14)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Moser Slovakia s. r. o. · IČO 47 556 210 · Twin City C, Mlynské nivy 12, 821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Effective: 12 January 2026  </w:t>
      </w:r>
    </w:p>
    <w:p>
      <w:r>
        <w:rPr>
          <w:rFonts w:ascii="Segoe UI" w:hAnsi="Segoe UI" w:cs="Segoe UI"/>
          <w:sz w:val="22"/>
        </w:rPr>
        <w:t xml:space="preserve">Owner: Warehouse Operations, Senec distribution centre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Physical returns of catalog goods follow the 14-day RMA process. An RMA number is required before the carrier collects the parcel. This document is named like the refund policies but covers logistics, not money.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RMA steps</w:t>
      </w:r>
    </w:p>
    <w:p>
      <w:r>
        <w:rPr>
          <w:rFonts w:ascii="Segoe UI" w:hAnsi="Segoe UI" w:cs="Segoe UI"/>
          <w:sz w:val="22"/>
        </w:rPr>
        <w:t xml:space="preserve">1. Customer requests an RMA in the portal.</w:t>
      </w:r>
    </w:p>
    <w:p>
      <w:r>
        <w:rPr>
          <w:rFonts w:ascii="Segoe UI" w:hAnsi="Segoe UI" w:cs="Segoe UI"/>
          <w:sz w:val="22"/>
        </w:rPr>
        <w:t xml:space="preserve">2. The Senec warehouse issues a label valid for 14 days.</w:t>
      </w:r>
    </w:p>
    <w:p>
      <w:r>
        <w:rPr>
          <w:rFonts w:ascii="Segoe UI" w:hAnsi="Segoe UI" w:cs="Segoe UI"/>
          <w:sz w:val="22"/>
        </w:rPr>
        <w:t xml:space="preserve">3. Goods arriving after label expiry are refused and returned to sender.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Do not quote the Premium 30-day subscription refund as a returns window. A return moves goods; a refund moves money.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Zuzana Králiková, People Operations / Compliance</w:t>
      </w:r>
    </w:p>
  </w:body>
</w:document>
</file>