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66ddedbfe394467" /></Relationships>
</file>

<file path=word/document.xml><?xml version="1.0" encoding="utf-8"?>
<w:document xmlns:w="http://schemas.openxmlformats.org/wordprocessingml/2006/main">
  <w:body>
    <w:p>
      <w:r>
        <w:rPr>
          <w:rFonts w:ascii="Segoe UI" w:hAnsi="Segoe UI" w:cs="Segoe UI"/>
          <w:sz w:val="28"/>
          <w:b/>
        </w:rPr>
        <w:t xml:space="preserve">Moser Slovakia s. r. o.</w:t>
      </w:r>
    </w:p>
    <w:p>
      <w:r>
        <w:rPr>
          <w:rFonts w:ascii="Segoe UI" w:hAnsi="Segoe UI" w:cs="Segoe UI"/>
          <w:sz w:val="18"/>
        </w:rPr>
        <w:t xml:space="preserve">Twin City C, Mlynské nivy 12, 821 09 Bratislava</w:t>
      </w:r>
    </w:p>
    <w:p>
      <w:r>
        <w:rPr>
          <w:rFonts w:ascii="Segoe UI" w:hAnsi="Segoe UI" w:cs="Segoe UI"/>
          <w:sz w:val="18"/>
        </w:rPr>
        <w:t xml:space="preserve">IČO 47 556 210 · DIČ 2022468911 · IČ DPH SK2022468911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6"/>
          <w:b/>
        </w:rPr>
        <w:t xml:space="preserve">Interný predpis · vendor onboarding</w:t>
      </w:r>
    </w:p>
    <w:p>
      <w:r>
        <w:rPr>
          <w:rFonts w:ascii="Segoe UI" w:hAnsi="Segoe UI" w:cs="Segoe UI"/>
          <w:sz w:val="18"/>
        </w:rPr>
        <w:t xml:space="preserve">Bratislava · 1. 3. 2026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2"/>
        </w:rPr>
        <w:t xml:space="preserve">Vendor onboarding (PROC-VON)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Issuer: Moser Slovakia s. r. o. · IČO 47 556 210 · Twin City C, Mlynské nivy 12, 821 09 Bratislava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Effective: 2 May 2026  </w:t>
      </w:r>
    </w:p>
    <w:p>
      <w:r>
        <w:rPr>
          <w:rFonts w:ascii="Segoe UI" w:hAnsi="Segoe UI" w:cs="Segoe UI"/>
          <w:sz w:val="22"/>
        </w:rPr>
        <w:t xml:space="preserve">Owner: Procurement, Moser Slovakia s. r. o.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A new vendor must supply: company id and VAT number verified in the Business Register, proof of no tax arrears where the contract value warrants it, a completed security questionnaire, and a named commercial owner inside our company. Access is not granted during onboarding until Information Security signs off the questionnaire.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A vendor that will process personal data on our behalf also signs a data processing agreement before the first record is transferred.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Standing shared logins are prohibited. Vendor engineers receive named accounts only after onboarding completes.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Do not confuse this document with vendor offboarding. Onboarding grants access after approval; offboarding withdraws it.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18"/>
        </w:rPr>
        <w:t xml:space="preserve">Schválil(a): Mgr. Zuzana Králiková, People Operations / Compliance</w:t>
      </w:r>
    </w:p>
  </w:body>
</w:document>
</file>