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186d3cf66ac4728" /></Relationships>
</file>

<file path=word/document.xml><?xml version="1.0" encoding="utf-8"?>
<w:document xmlns:w="http://schemas.openxmlformats.org/wordprocessingml/2006/main">
  <w:body>
    <w:p>
      <w:r>
        <w:rPr>
          <w:rFonts w:ascii="Segoe UI" w:hAnsi="Segoe UI" w:cs="Segoe UI"/>
          <w:sz w:val="28"/>
          <w:b/>
        </w:rPr>
        <w:t xml:space="preserve">Karpaty Wealth, o. c. p., a. s.</w:t>
      </w:r>
    </w:p>
    <w:p>
      <w:r>
        <w:rPr>
          <w:rFonts w:ascii="Segoe UI" w:hAnsi="Segoe UI" w:cs="Segoe UI"/>
          <w:sz w:val="18"/>
        </w:rPr>
        <w:t xml:space="preserve">Pribinova 4, 811 09 Bratislava</w:t>
      </w:r>
    </w:p>
    <w:p>
      <w:r>
        <w:rPr>
          <w:rFonts w:ascii="Segoe UI" w:hAnsi="Segoe UI" w:cs="Segoe UI"/>
          <w:sz w:val="18"/>
        </w:rPr>
        <w:t xml:space="preserve">IČO 35 760 112 · NBS o.c.p. · LEI 097900BIGH0000123456</w:t>
      </w:r>
    </w:p>
    <w:p>
      <w:r>
        <w:rPr>
          <w:rFonts w:ascii="Segoe UI" w:hAnsi="Segoe UI" w:cs="Segoe UI"/>
          <w:sz w:val="22"/>
        </w:rPr>
        <w:t xml:space="preserve"/>
      </w:r>
    </w:p>
    <w:p>
      <w:r>
        <w:rPr>
          <w:rFonts w:ascii="Segoe UI" w:hAnsi="Segoe UI" w:cs="Segoe UI"/>
          <w:sz w:val="26"/>
          <w:b/>
        </w:rPr>
        <w:t xml:space="preserve">Interný predpis · fee disclosure</w:t>
      </w:r>
    </w:p>
    <w:p>
      <w:r>
        <w:rPr>
          <w:rFonts w:ascii="Segoe UI" w:hAnsi="Segoe UI" w:cs="Segoe UI"/>
          <w:sz w:val="18"/>
        </w:rPr>
        <w:t xml:space="preserve">Bratislava · 9. 3. 2026</w:t>
      </w:r>
    </w:p>
    <w:p>
      <w:r>
        <w:rPr>
          <w:rFonts w:ascii="Segoe UI" w:hAnsi="Segoe UI" w:cs="Segoe UI"/>
          <w:sz w:val="22"/>
        </w:rPr>
        <w:t xml:space="preserve"/>
      </w:r>
    </w:p>
    <w:p>
      <w:r>
        <w:rPr>
          <w:rFonts w:ascii="Segoe UI" w:hAnsi="Segoe UI" w:cs="Segoe UI"/>
          <w:sz w:val="22"/>
        </w:rPr>
        <w:t xml:space="preserve">Fees and conflict disclosure (FIN-FEE-05)</w:t>
      </w:r>
    </w:p>
    <w:p>
      <w:r>
        <w:rPr>
          <w:rFonts w:ascii="Segoe UI" w:hAnsi="Segoe UI" w:cs="Segoe UI"/>
          <w:sz w:val="22"/>
        </w:rPr>
        <w:t xml:space="preserve"> </w:t>
      </w:r>
    </w:p>
    <w:p>
      <w:r>
        <w:rPr>
          <w:rFonts w:ascii="Segoe UI" w:hAnsi="Segoe UI" w:cs="Segoe UI"/>
          <w:sz w:val="22"/>
        </w:rPr>
        <w:t xml:space="preserve">Issuer: Tatra Wealth, o. c. p., a. s. · IČO 36 012 445 · Hodžovo námestie 3, 811 06 Bratislava</w:t>
      </w:r>
    </w:p>
    <w:p>
      <w:r>
        <w:rPr>
          <w:rFonts w:ascii="Segoe UI" w:hAnsi="Segoe UI" w:cs="Segoe UI"/>
          <w:sz w:val="22"/>
        </w:rPr>
        <w:t xml:space="preserve"> </w:t>
      </w:r>
    </w:p>
    <w:p>
      <w:r>
        <w:rPr>
          <w:rFonts w:ascii="Segoe UI" w:hAnsi="Segoe UI" w:cs="Segoe UI"/>
          <w:sz w:val="22"/>
        </w:rPr>
        <w:t xml:space="preserve">Give the client the pre-contract information pack and the full fee schedule before the advisory service starts: management fee, transaction costs, custody fee, fund ongoing charges, and the total effect of costs on the expected return.</w:t>
      </w:r>
    </w:p>
    <w:p>
      <w:r>
        <w:rPr>
          <w:rFonts w:ascii="Segoe UI" w:hAnsi="Segoe UI" w:cs="Segoe UI"/>
          <w:sz w:val="22"/>
        </w:rPr>
        <w:t xml:space="preserve">Any inducement received from a product manufacturer is disclosed by amount, and is kept only where it demonstrably improves the service to the client.</w:t>
      </w:r>
    </w:p>
    <w:p>
      <w:r>
        <w:rPr>
          <w:rFonts w:ascii="Segoe UI" w:hAnsi="Segoe UI" w:cs="Segoe UI"/>
          <w:sz w:val="22"/>
        </w:rPr>
        <w:t xml:space="preserve">A fee change needs written notice at least 30 days in advance, and the client may terminate without penalty in that period.</w:t>
      </w:r>
    </w:p>
    <w:p>
      <w:r>
        <w:rPr>
          <w:rFonts w:ascii="Segoe UI" w:hAnsi="Segoe UI" w:cs="Segoe UI"/>
          <w:sz w:val="22"/>
        </w:rPr>
        <w:t xml:space="preserve">Performance figures are net of fees, cover at least five years or the whole track record if shorter, and carry the standard warning that past performance does not predict future returns. A guaranteed return is never advertised.</w:t>
      </w:r>
    </w:p>
    <w:p>
      <w:r>
        <w:rPr>
          <w:rFonts w:ascii="Segoe UI" w:hAnsi="Segoe UI" w:cs="Segoe UI"/>
          <w:sz w:val="22"/>
        </w:rPr>
        <w:t xml:space="preserve">Charges are shown in euro as well as in percent, and the annual ex-post cost statement is sent to every client.</w:t>
      </w:r>
    </w:p>
    <w:p>
      <w:r>
        <w:rPr>
          <w:rFonts w:ascii="Segoe UI" w:hAnsi="Segoe UI" w:cs="Segoe UI"/>
          <w:sz w:val="22"/>
        </w:rPr>
        <w:t xml:space="preserve"/>
      </w:r>
    </w:p>
    <w:p>
      <w:r>
        <w:rPr>
          <w:rFonts w:ascii="Segoe UI" w:hAnsi="Segoe UI" w:cs="Segoe UI"/>
          <w:sz w:val="18"/>
        </w:rPr>
        <w:t xml:space="preserve">Schválil(a): Ing. Martin Vargovčík, vedúci compliance</w:t>
      </w:r>
    </w:p>
  </w:body>
</w:document>
</file>