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311aefad42c4dfd" /></Relationships>
</file>

<file path=word/document.xml><?xml version="1.0" encoding="utf-8"?>
<w:document xmlns:w="http://schemas.openxmlformats.org/wordprocessingml/2006/main">
  <w:body>
    <w:p>
      <w:r>
        <w:rPr>
          <w:rFonts w:ascii="Segoe UI" w:hAnsi="Segoe UI" w:cs="Segoe UI"/>
          <w:sz w:val="28"/>
          <w:b/>
        </w:rPr>
        <w:t xml:space="preserve">Karpaty Wealth, o. c. p., a. s.</w:t>
      </w:r>
    </w:p>
    <w:p>
      <w:r>
        <w:rPr>
          <w:rFonts w:ascii="Segoe UI" w:hAnsi="Segoe UI" w:cs="Segoe UI"/>
          <w:sz w:val="18"/>
        </w:rPr>
        <w:t xml:space="preserve">Pribinova 4, 811 09 Bratislava</w:t>
      </w:r>
    </w:p>
    <w:p>
      <w:r>
        <w:rPr>
          <w:rFonts w:ascii="Segoe UI" w:hAnsi="Segoe UI" w:cs="Segoe UI"/>
          <w:sz w:val="18"/>
        </w:rPr>
        <w:t xml:space="preserve">IČO 35 760 112 · NBS o.c.p. · LEI 097900BIGH0000123456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26"/>
          <w:b/>
        </w:rPr>
        <w:t xml:space="preserve">Interný predpis · suitability</w:t>
      </w:r>
    </w:p>
    <w:p>
      <w:r>
        <w:rPr>
          <w:rFonts w:ascii="Segoe UI" w:hAnsi="Segoe UI" w:cs="Segoe UI"/>
          <w:sz w:val="18"/>
        </w:rPr>
        <w:t xml:space="preserve">Bratislava · 9. 3. 2026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22"/>
        </w:rPr>
        <w:t xml:space="preserve">Suitability of advice (FIN-SUIT-02)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Issuer: Tatra Wealth, o. c. p., a. s. · IČO 36 012 445 · Hodžovo námestie 3, 811 06 Bratislava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A recommendation must match the client's risk tolerance, investment horizon, liquidity needs and stated objectives, and the reasoning is recorded in a suitability statement given to the client before the order.</w:t>
      </w:r>
    </w:p>
    <w:p>
      <w:r>
        <w:rPr>
          <w:rFonts w:ascii="Segoe UI" w:hAnsi="Segoe UI" w:cs="Segoe UI"/>
          <w:sz w:val="22"/>
        </w:rPr>
        <w:t xml:space="preserve">Complex products — leveraged exchange-traded funds, options, structured notes and certificates — require a documented appropriateness assessment and the client's written acknowledgement of the risks.</w:t>
      </w:r>
    </w:p>
    <w:p>
      <w:r>
        <w:rPr>
          <w:rFonts w:ascii="Segoe UI" w:hAnsi="Segoe UI" w:cs="Segoe UI"/>
          <w:sz w:val="22"/>
        </w:rPr>
        <w:t xml:space="preserve">A retail client who refuses to provide profile information cannot be advised; only execution-only service remains available where the rules allow it.</w:t>
      </w:r>
    </w:p>
    <w:p>
      <w:r>
        <w:rPr>
          <w:rFonts w:ascii="Segoe UI" w:hAnsi="Segoe UI" w:cs="Segoe UI"/>
          <w:sz w:val="22"/>
        </w:rPr>
        <w:t xml:space="preserve">Refresh the suitability assessment at least once a year, and sooner after a material change such as retirement, a business sale or an inheritance.</w:t>
      </w:r>
    </w:p>
    <w:p>
      <w:r>
        <w:rPr>
          <w:rFonts w:ascii="Segoe UI" w:hAnsi="Segoe UI" w:cs="Segoe UI"/>
          <w:sz w:val="22"/>
        </w:rPr>
        <w:t xml:space="preserve">An unsuitable order is escalated to compliance and is never processed on a verbal assurance from the client.</w:t>
      </w:r>
    </w:p>
    <w:p>
      <w:r>
        <w:rPr>
          <w:rFonts w:ascii="Segoe UI" w:hAnsi="Segoe UI" w:cs="Segoe UI"/>
          <w:sz w:val="22"/>
        </w:rPr>
        <w:t xml:space="preserve">Sustainability preferences are asked for and recorded as part of the same profile.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18"/>
        </w:rPr>
        <w:t xml:space="preserve">Schválil(a): Ing. Martin Vargovčík, vedúci compliance</w:t>
      </w:r>
    </w:p>
  </w:body>
</w:document>
</file>