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667a789c064160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Poliklinika Karlovka s. r. o.</w:t>
      </w:r>
    </w:p>
    <w:p>
      <w:r>
        <w:rPr>
          <w:rFonts w:ascii="Segoe UI" w:hAnsi="Segoe UI" w:cs="Segoe UI"/>
          <w:sz w:val="18"/>
        </w:rPr>
        <w:t xml:space="preserve">Račianska 71, 831 02 Bratislava</w:t>
      </w:r>
    </w:p>
    <w:p>
      <w:r>
        <w:rPr>
          <w:rFonts w:ascii="Segoe UI" w:hAnsi="Segoe UI" w:cs="Segoe UI"/>
          <w:sz w:val="18"/>
        </w:rPr>
        <w:t xml:space="preserve">IČO 35 887 441 · IČZ 63-000441-A · ÚDZS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billing coding</w:t>
      </w:r>
    </w:p>
    <w:p>
      <w:r>
        <w:rPr>
          <w:rFonts w:ascii="Segoe UI" w:hAnsi="Segoe UI" w:cs="Segoe UI"/>
          <w:sz w:val="18"/>
        </w:rPr>
        <w:t xml:space="preserve">Bratislava · 21. 1.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Reporting and billing (HC-BILL-05)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Poliklinika Karpatia s. r. o. · IČO 35 678 901 · Račianska 71, 831 02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Report only care that was actually provided, documented in the record and medically indicated.</w:t>
      </w:r>
    </w:p>
    <w:p>
      <w:r>
        <w:rPr>
          <w:rFonts w:ascii="Segoe UI" w:hAnsi="Segoe UI" w:cs="Segoe UI"/>
          <w:sz w:val="22"/>
        </w:rPr>
        <w:t xml:space="preserve">Care is billed to the patient's health insurer — Všeobecná zdravotná poisťovňa, Dôvera or Union — under the contract and the diagnosis and procedure codes it recognises.</w:t>
      </w:r>
    </w:p>
    <w:p>
      <w:r>
        <w:rPr>
          <w:rFonts w:ascii="Segoe UI" w:hAnsi="Segoe UI" w:cs="Segoe UI"/>
          <w:sz w:val="22"/>
        </w:rPr>
        <w:t xml:space="preserve">Check insurance eligibility before the visit; for an uninsured or foreign patient without an EHIC card, agree the private price in advance.</w:t>
      </w:r>
    </w:p>
    <w:p>
      <w:r>
        <w:rPr>
          <w:rFonts w:ascii="Segoe UI" w:hAnsi="Segoe UI" w:cs="Segoe UI"/>
          <w:sz w:val="22"/>
        </w:rPr>
        <w:t xml:space="preserve">Inflating a code, splitting one episode into several visits, or reporting a capitation patient twice is billing fraud and is reported internally at once.</w:t>
      </w:r>
    </w:p>
    <w:p>
      <w:r>
        <w:rPr>
          <w:rFonts w:ascii="Segoe UI" w:hAnsi="Segoe UI" w:cs="Segoe UI"/>
          <w:sz w:val="22"/>
        </w:rPr>
        <w:t xml:space="preserve">The published price list covers services outside the insured scope; the patient receives an itemised document before payment.</w:t>
      </w:r>
    </w:p>
    <w:p>
      <w:r>
        <w:rPr>
          <w:rFonts w:ascii="Segoe UI" w:hAnsi="Segoe UI" w:cs="Segoe UI"/>
          <w:sz w:val="22"/>
        </w:rPr>
        <w:t xml:space="preserve">Rejected claims are reconciled monthly, and a repeated rejection pattern is escalated rather than resubmitted unchanged.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MUDr. Peter Kováč, hlavný lekár</w:t>
      </w:r>
    </w:p>
  </w:body>
</w:document>
</file>