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2c3e9e7336643a5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Tatry Poisťovňa, a. s.</w:t>
      </w:r>
    </w:p>
    <w:p>
      <w:r>
        <w:rPr>
          <w:rFonts w:ascii="Segoe UI" w:hAnsi="Segoe UI" w:cs="Segoe UI"/>
          <w:sz w:val="18"/>
        </w:rPr>
        <w:t xml:space="preserve">Plynárenská 7/A, 821 09 Bratislava</w:t>
      </w:r>
    </w:p>
    <w:p>
      <w:r>
        <w:rPr>
          <w:rFonts w:ascii="Segoe UI" w:hAnsi="Segoe UI" w:cs="Segoe UI"/>
          <w:sz w:val="18"/>
        </w:rPr>
        <w:t xml:space="preserve">IČO 00 151 441 · NBS poisťovňa · IČ DPH SK2020123344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coverage interpretation</w:t>
      </w:r>
    </w:p>
    <w:p>
      <w:r>
        <w:rPr>
          <w:rFonts w:ascii="Segoe UI" w:hAnsi="Segoe UI" w:cs="Segoe UI"/>
          <w:sz w:val="18"/>
        </w:rPr>
        <w:t xml:space="preserve">Bratislava · 16. 2.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Coverage interpretation (INS-COV-02)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Poisťovňa Devín, a. s. · IČO 00 682 447 · Pribinova 10, 811 09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Read the policy as a whole: the insuring clause, the general terms, the exclusions, the conditions and every endorsement together with the schedule.</w:t>
      </w:r>
    </w:p>
    <w:p>
      <w:r>
        <w:rPr>
          <w:rFonts w:ascii="Segoe UI" w:hAnsi="Segoe UI" w:cs="Segoe UI"/>
          <w:sz w:val="22"/>
        </w:rPr>
        <w:t xml:space="preserve">Where a consumer contract term is genuinely ambiguous it is interpreted in favour of the consumer under the Civil Code, and an unfair term in general insurance conditions is unenforceable.</w:t>
      </w:r>
    </w:p>
    <w:p>
      <w:r>
        <w:rPr>
          <w:rFonts w:ascii="Segoe UI" w:hAnsi="Segoe UI" w:cs="Segoe UI"/>
          <w:sz w:val="22"/>
        </w:rPr>
        <w:t xml:space="preserve">An adjuster does not create or extend cover by e-mail. Escalate an ambiguity to coverage counsel and record the reasoning in the file.</w:t>
      </w:r>
    </w:p>
    <w:p>
      <w:r>
        <w:rPr>
          <w:rFonts w:ascii="Segoe UI" w:hAnsi="Segoe UI" w:cs="Segoe UI"/>
          <w:sz w:val="22"/>
        </w:rPr>
        <w:t xml:space="preserve">Where a coverage defence may exist, notify the insured in writing promptly and reserve the insurer's position rather than paying and arguing later.</w:t>
      </w:r>
    </w:p>
    <w:p>
      <w:r>
        <w:rPr>
          <w:rFonts w:ascii="Segoe UI" w:hAnsi="Segoe UI" w:cs="Segoe UI"/>
          <w:sz w:val="22"/>
        </w:rPr>
        <w:t xml:space="preserve">Under-insurance is applied only where the schedule states the proportional reduction, and the calculation is shown to the insured.</w:t>
      </w:r>
    </w:p>
    <w:p>
      <w:r>
        <w:rPr>
          <w:rFonts w:ascii="Segoe UI" w:hAnsi="Segoe UI" w:cs="Segoe UI"/>
          <w:sz w:val="22"/>
        </w:rPr>
        <w:t xml:space="preserve">A partial declination states which exclusion applies and quotes the clause, so the insured can seek review by Národná banka Slovenska or an alternative dispute resolution body.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Mgr. Eva Mináriková, vedúca likvidácie škôd</w:t>
      </w:r>
    </w:p>
  </w:body>
</w:document>
</file>