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546bdbdab474d9f" /></Relationships>
</file>

<file path=word/document.xml><?xml version="1.0" encoding="utf-8"?>
<w:document xmlns:w="http://schemas.openxmlformats.org/wordprocessingml/2006/main">
  <w:body>
    <w:p>
      <w:r>
        <w:rPr>
          <w:rFonts w:ascii="Segoe UI" w:hAnsi="Segoe UI" w:cs="Segoe UI"/>
          <w:sz w:val="28"/>
          <w:b/>
        </w:rPr>
        <w:t xml:space="preserve">Advokátska kancelária Hoferová &amp; Bartoš s. r. o.</w:t>
      </w:r>
    </w:p>
    <w:p>
      <w:r>
        <w:rPr>
          <w:rFonts w:ascii="Segoe UI" w:hAnsi="Segoe UI" w:cs="Segoe UI"/>
          <w:sz w:val="18"/>
        </w:rPr>
        <w:t xml:space="preserve">Laurinská 12, 811 01 Bratislava</w:t>
      </w:r>
    </w:p>
    <w:p>
      <w:r>
        <w:rPr>
          <w:rFonts w:ascii="Segoe UI" w:hAnsi="Segoe UI" w:cs="Segoe UI"/>
          <w:sz w:val="18"/>
        </w:rPr>
        <w:t xml:space="preserve">IČO 51 234 567 · DIČ 2120123456 · IČ DPH SK2120123456 · SAK 1847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6"/>
          <w:b/>
        </w:rPr>
        <w:t xml:space="preserve">Interný predpis · conflict of interest</w:t>
      </w:r>
    </w:p>
    <w:p>
      <w:r>
        <w:rPr>
          <w:rFonts w:ascii="Segoe UI" w:hAnsi="Segoe UI" w:cs="Segoe UI"/>
          <w:sz w:val="18"/>
        </w:rPr>
        <w:t xml:space="preserve">Bratislava · 12. 3. 2026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2"/>
        </w:rPr>
        <w:t xml:space="preserve">Conflict of interest (LEG-COI-02)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Issuer: Advokátska kancelária Hoferová &amp; Bartoš s. r. o. · IČO 51 234 567 · Laurinská 12, 811 01 Bratislava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A conflict check against the firm's matter database is mandatory before a new matter is opened.</w:t>
      </w:r>
    </w:p>
    <w:p>
      <w:r>
        <w:rPr>
          <w:rFonts w:ascii="Segoe UI" w:hAnsi="Segoe UI" w:cs="Segoe UI"/>
          <w:sz w:val="22"/>
        </w:rPr>
        <w:t xml:space="preserve">Under §21 of the Advocacy Act (zákon č. 586/2003 Z. z.) an advocate must refuse representation where the interests of the new client collide with those of an existing or former client.</w:t>
      </w:r>
    </w:p>
    <w:p>
      <w:r>
        <w:rPr>
          <w:rFonts w:ascii="Segoe UI" w:hAnsi="Segoe UI" w:cs="Segoe UI"/>
          <w:sz w:val="22"/>
        </w:rPr>
        <w:t xml:space="preserve">Acting against a current client is prohibited; where the Bar's rules permit a waiver at all, it requires informed written consent from every affected client.</w:t>
      </w:r>
    </w:p>
    <w:p>
      <w:r>
        <w:rPr>
          <w:rFonts w:ascii="Segoe UI" w:hAnsi="Segoe UI" w:cs="Segoe UI"/>
          <w:sz w:val="22"/>
        </w:rPr>
        <w:t xml:space="preserve">Former-client conflicts: confidential information must never be used or revealed to the disadvantage of the former client.</w:t>
      </w:r>
    </w:p>
    <w:p>
      <w:r>
        <w:rPr>
          <w:rFonts w:ascii="Segoe UI" w:hAnsi="Segoe UI" w:cs="Segoe UI"/>
          <w:sz w:val="22"/>
        </w:rPr>
        <w:t xml:space="preserve">An advocate's own financial interest in the subject of a matter is disclosed to the conflicts committee before the engagement letter is signed.</w:t>
      </w:r>
    </w:p>
    <w:p>
      <w:r>
        <w:rPr>
          <w:rFonts w:ascii="Segoe UI" w:hAnsi="Segoe UI" w:cs="Segoe UI"/>
          <w:sz w:val="22"/>
        </w:rPr>
        <w:t xml:space="preserve">An unresolved conflict is reported to the Slovak Bar Association rather than managed informally.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18"/>
        </w:rPr>
        <w:t xml:space="preserve">Schválil(a): Mgr. Jana Hoferová, advokátka, konateľka</w:t>
      </w:r>
    </w:p>
  </w:body>
</w:document>
</file>