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horzAnchor="margin" w:tblpXSpec="center" w:tblpY="-561"/>
        <w:tblW w:w="10939" w:type="dxa"/>
        <w:tblInd w:w="0" w:type="dxa"/>
        <w:tblCellMar>
          <w:top w:w="371" w:type="dxa"/>
          <w:left w:w="1205" w:type="dxa"/>
          <w:right w:w="115" w:type="dxa"/>
        </w:tblCellMar>
        <w:tblLook w:val="04A0" w:firstRow="1" w:lastRow="0" w:firstColumn="1" w:lastColumn="0" w:noHBand="0" w:noVBand="1"/>
      </w:tblPr>
      <w:tblGrid>
        <w:gridCol w:w="10939"/>
      </w:tblGrid>
      <w:tr w:rsidR="008F794E" w14:paraId="1BB82C36" w14:textId="77777777" w:rsidTr="007D0A6A">
        <w:trPr>
          <w:trHeight w:val="1462"/>
        </w:trPr>
        <w:tc>
          <w:tcPr>
            <w:tcW w:w="10939" w:type="dxa"/>
            <w:tcBorders>
              <w:top w:val="single" w:sz="4" w:space="0" w:color="000000"/>
              <w:left w:val="single" w:sz="4" w:space="0" w:color="000000"/>
              <w:bottom w:val="single" w:sz="4" w:space="0" w:color="000000"/>
              <w:right w:val="single" w:sz="4" w:space="0" w:color="000000"/>
            </w:tcBorders>
          </w:tcPr>
          <w:p w14:paraId="464A28C2" w14:textId="77777777" w:rsidR="008F794E" w:rsidRDefault="008F794E" w:rsidP="007D0A6A">
            <w:pPr>
              <w:spacing w:after="129"/>
            </w:pPr>
            <w:r>
              <w:rPr>
                <w:rFonts w:ascii="Arial" w:eastAsia="Arial" w:hAnsi="Arial" w:cs="Arial"/>
                <w:b/>
                <w:sz w:val="24"/>
              </w:rPr>
              <w:t xml:space="preserve">STUDENT NAME: Moses Bernard Velano </w:t>
            </w:r>
          </w:p>
          <w:p w14:paraId="260A6F72" w14:textId="77777777" w:rsidR="008F794E" w:rsidRDefault="008F794E" w:rsidP="007D0A6A">
            <w:pPr>
              <w:ind w:left="108"/>
              <w:rPr>
                <w:rFonts w:ascii="Arial" w:hAnsi="Arial" w:cs="Arial"/>
                <w:b/>
              </w:rPr>
            </w:pPr>
            <w:r>
              <w:rPr>
                <w:rFonts w:ascii="Arial" w:eastAsia="Arial" w:hAnsi="Arial" w:cs="Arial"/>
                <w:b/>
                <w:sz w:val="40"/>
              </w:rPr>
              <w:t xml:space="preserve">Geography Assignment Cover Sheet </w:t>
            </w:r>
          </w:p>
          <w:p w14:paraId="79624180" w14:textId="77777777" w:rsidR="008F794E" w:rsidRDefault="008F794E" w:rsidP="007D0A6A">
            <w:r>
              <w:rPr>
                <w:rFonts w:ascii="Arial" w:eastAsia="Arial" w:hAnsi="Arial" w:cs="Arial"/>
                <w:b/>
                <w:i/>
                <w:sz w:val="26"/>
              </w:rPr>
              <w:t xml:space="preserve">Your assignment/essay will not be marked unless this sheet is signed and attached to the assignment/essay. </w:t>
            </w:r>
            <w:r>
              <w:rPr>
                <w:sz w:val="24"/>
              </w:rPr>
              <w:t xml:space="preserve"> </w:t>
            </w:r>
          </w:p>
          <w:tbl>
            <w:tblPr>
              <w:tblStyle w:val="TableGrid0"/>
              <w:tblW w:w="8524" w:type="dxa"/>
              <w:tblInd w:w="0" w:type="dxa"/>
              <w:tblCellMar>
                <w:top w:w="14" w:type="dxa"/>
                <w:left w:w="108" w:type="dxa"/>
                <w:right w:w="115" w:type="dxa"/>
              </w:tblCellMar>
              <w:tblLook w:val="04A0" w:firstRow="1" w:lastRow="0" w:firstColumn="1" w:lastColumn="0" w:noHBand="0" w:noVBand="1"/>
            </w:tblPr>
            <w:tblGrid>
              <w:gridCol w:w="2809"/>
              <w:gridCol w:w="5715"/>
            </w:tblGrid>
            <w:tr w:rsidR="008F794E" w14:paraId="7F732CD7" w14:textId="77777777" w:rsidTr="007D0A6A">
              <w:trPr>
                <w:trHeight w:val="576"/>
              </w:trPr>
              <w:tc>
                <w:tcPr>
                  <w:tcW w:w="2809" w:type="dxa"/>
                  <w:tcBorders>
                    <w:top w:val="single" w:sz="4" w:space="0" w:color="000000"/>
                    <w:left w:val="single" w:sz="4" w:space="0" w:color="000000"/>
                    <w:bottom w:val="single" w:sz="4" w:space="0" w:color="000000"/>
                    <w:right w:val="single" w:sz="4" w:space="0" w:color="000000"/>
                  </w:tcBorders>
                  <w:vAlign w:val="center"/>
                </w:tcPr>
                <w:p w14:paraId="4977CA94" w14:textId="77777777" w:rsidR="008F794E" w:rsidRDefault="008F794E" w:rsidP="00674B8E">
                  <w:pPr>
                    <w:framePr w:hSpace="180" w:wrap="around" w:hAnchor="margin" w:xAlign="center" w:y="-561"/>
                  </w:pPr>
                  <w:r>
                    <w:rPr>
                      <w:b/>
                      <w:sz w:val="28"/>
                    </w:rPr>
                    <w:t xml:space="preserve">Course Code: </w:t>
                  </w:r>
                </w:p>
              </w:tc>
              <w:tc>
                <w:tcPr>
                  <w:tcW w:w="5715" w:type="dxa"/>
                  <w:tcBorders>
                    <w:top w:val="single" w:sz="4" w:space="0" w:color="000000"/>
                    <w:left w:val="single" w:sz="4" w:space="0" w:color="000000"/>
                    <w:bottom w:val="single" w:sz="4" w:space="0" w:color="000000"/>
                    <w:right w:val="single" w:sz="4" w:space="0" w:color="000000"/>
                  </w:tcBorders>
                  <w:vAlign w:val="center"/>
                </w:tcPr>
                <w:p w14:paraId="13A36C01" w14:textId="77777777" w:rsidR="008F794E" w:rsidRDefault="008F794E" w:rsidP="00674B8E">
                  <w:pPr>
                    <w:framePr w:hSpace="180" w:wrap="around" w:hAnchor="margin" w:xAlign="center" w:y="-561"/>
                  </w:pPr>
                  <w:r>
                    <w:rPr>
                      <w:sz w:val="24"/>
                    </w:rPr>
                    <w:t xml:space="preserve"> GISC101-21S2</w:t>
                  </w:r>
                </w:p>
              </w:tc>
            </w:tr>
            <w:tr w:rsidR="008F794E" w14:paraId="4538AEEC" w14:textId="77777777" w:rsidTr="007D0A6A">
              <w:trPr>
                <w:trHeight w:val="578"/>
              </w:trPr>
              <w:tc>
                <w:tcPr>
                  <w:tcW w:w="2809" w:type="dxa"/>
                  <w:tcBorders>
                    <w:top w:val="single" w:sz="4" w:space="0" w:color="000000"/>
                    <w:left w:val="single" w:sz="4" w:space="0" w:color="000000"/>
                    <w:bottom w:val="single" w:sz="4" w:space="0" w:color="000000"/>
                    <w:right w:val="single" w:sz="4" w:space="0" w:color="000000"/>
                  </w:tcBorders>
                  <w:vAlign w:val="center"/>
                </w:tcPr>
                <w:p w14:paraId="008C2314" w14:textId="77777777" w:rsidR="008F794E" w:rsidRDefault="008F794E" w:rsidP="00674B8E">
                  <w:pPr>
                    <w:framePr w:hSpace="180" w:wrap="around" w:hAnchor="margin" w:xAlign="center" w:y="-561"/>
                  </w:pPr>
                  <w:r>
                    <w:rPr>
                      <w:b/>
                      <w:sz w:val="28"/>
                    </w:rPr>
                    <w:t xml:space="preserve">Student ID Number: </w:t>
                  </w:r>
                </w:p>
              </w:tc>
              <w:tc>
                <w:tcPr>
                  <w:tcW w:w="5715" w:type="dxa"/>
                  <w:tcBorders>
                    <w:top w:val="single" w:sz="4" w:space="0" w:color="000000"/>
                    <w:left w:val="single" w:sz="4" w:space="0" w:color="000000"/>
                    <w:bottom w:val="single" w:sz="4" w:space="0" w:color="000000"/>
                    <w:right w:val="single" w:sz="4" w:space="0" w:color="000000"/>
                  </w:tcBorders>
                  <w:vAlign w:val="center"/>
                </w:tcPr>
                <w:p w14:paraId="1B2A6A32" w14:textId="77777777" w:rsidR="008F794E" w:rsidRDefault="008F794E" w:rsidP="00674B8E">
                  <w:pPr>
                    <w:framePr w:hSpace="180" w:wrap="around" w:hAnchor="margin" w:xAlign="center" w:y="-561"/>
                  </w:pPr>
                  <w:r>
                    <w:rPr>
                      <w:sz w:val="24"/>
                    </w:rPr>
                    <w:t xml:space="preserve"> 83396373</w:t>
                  </w:r>
                </w:p>
              </w:tc>
            </w:tr>
            <w:tr w:rsidR="008F794E" w14:paraId="270C135B" w14:textId="77777777" w:rsidTr="007D0A6A">
              <w:trPr>
                <w:trHeight w:val="1041"/>
              </w:trPr>
              <w:tc>
                <w:tcPr>
                  <w:tcW w:w="2809" w:type="dxa"/>
                  <w:tcBorders>
                    <w:top w:val="single" w:sz="4" w:space="0" w:color="000000"/>
                    <w:left w:val="single" w:sz="4" w:space="0" w:color="000000"/>
                    <w:bottom w:val="single" w:sz="4" w:space="0" w:color="000000"/>
                    <w:right w:val="single" w:sz="4" w:space="0" w:color="000000"/>
                  </w:tcBorders>
                </w:tcPr>
                <w:p w14:paraId="2A9B5FE7" w14:textId="77777777" w:rsidR="008F794E" w:rsidRDefault="008F794E" w:rsidP="00674B8E">
                  <w:pPr>
                    <w:framePr w:hSpace="180" w:wrap="around" w:hAnchor="margin" w:xAlign="center" w:y="-561"/>
                    <w:spacing w:after="28"/>
                  </w:pPr>
                  <w:r>
                    <w:rPr>
                      <w:b/>
                      <w:sz w:val="28"/>
                    </w:rPr>
                    <w:t xml:space="preserve">Lab Stream &amp; </w:t>
                  </w:r>
                </w:p>
                <w:p w14:paraId="25BAD9B7" w14:textId="77777777" w:rsidR="008F794E" w:rsidRDefault="008F794E" w:rsidP="00674B8E">
                  <w:pPr>
                    <w:framePr w:hSpace="180" w:wrap="around" w:hAnchor="margin" w:xAlign="center" w:y="-561"/>
                  </w:pPr>
                  <w:r>
                    <w:rPr>
                      <w:b/>
                      <w:sz w:val="28"/>
                    </w:rPr>
                    <w:t xml:space="preserve">Tutor’s Name: </w:t>
                  </w:r>
                </w:p>
              </w:tc>
              <w:tc>
                <w:tcPr>
                  <w:tcW w:w="5715" w:type="dxa"/>
                  <w:tcBorders>
                    <w:top w:val="single" w:sz="4" w:space="0" w:color="000000"/>
                    <w:left w:val="single" w:sz="4" w:space="0" w:color="000000"/>
                    <w:bottom w:val="single" w:sz="4" w:space="0" w:color="000000"/>
                    <w:right w:val="single" w:sz="4" w:space="0" w:color="000000"/>
                  </w:tcBorders>
                  <w:vAlign w:val="center"/>
                </w:tcPr>
                <w:p w14:paraId="0C3F0F2F" w14:textId="77777777" w:rsidR="008F794E" w:rsidRDefault="008F794E" w:rsidP="00674B8E">
                  <w:pPr>
                    <w:framePr w:hSpace="180" w:wrap="around" w:hAnchor="margin" w:xAlign="center" w:y="-561"/>
                    <w:rPr>
                      <w:sz w:val="24"/>
                    </w:rPr>
                  </w:pPr>
                  <w:r>
                    <w:rPr>
                      <w:sz w:val="24"/>
                    </w:rPr>
                    <w:t xml:space="preserve"> GISC101-21S2 (C), ComA, 01 </w:t>
                  </w:r>
                </w:p>
                <w:p w14:paraId="6A363F69" w14:textId="77777777" w:rsidR="008F794E" w:rsidRDefault="008F794E" w:rsidP="00674B8E">
                  <w:pPr>
                    <w:framePr w:hSpace="180" w:wrap="around" w:hAnchor="margin" w:xAlign="center" w:y="-561"/>
                    <w:rPr>
                      <w:sz w:val="24"/>
                    </w:rPr>
                  </w:pPr>
                  <w:r>
                    <w:rPr>
                      <w:sz w:val="24"/>
                    </w:rPr>
                    <w:t>Earnest Rutherford 211 GIS Comp Lab &amp;</w:t>
                  </w:r>
                </w:p>
                <w:p w14:paraId="3E2B87F8" w14:textId="77777777" w:rsidR="008F794E" w:rsidRDefault="008F794E" w:rsidP="00674B8E">
                  <w:pPr>
                    <w:framePr w:hSpace="180" w:wrap="around" w:hAnchor="margin" w:xAlign="center" w:y="-561"/>
                  </w:pPr>
                  <w:r>
                    <w:rPr>
                      <w:sz w:val="24"/>
                    </w:rPr>
                    <w:t>Martin Nguyen</w:t>
                  </w:r>
                </w:p>
              </w:tc>
            </w:tr>
            <w:tr w:rsidR="008F794E" w14:paraId="4AA7BA3B" w14:textId="77777777" w:rsidTr="007D0A6A">
              <w:trPr>
                <w:trHeight w:val="113"/>
              </w:trPr>
              <w:tc>
                <w:tcPr>
                  <w:tcW w:w="2809" w:type="dxa"/>
                  <w:tcBorders>
                    <w:top w:val="single" w:sz="4" w:space="0" w:color="000000"/>
                    <w:left w:val="single" w:sz="4" w:space="0" w:color="000000"/>
                    <w:bottom w:val="single" w:sz="4" w:space="0" w:color="000000"/>
                    <w:right w:val="single" w:sz="4" w:space="0" w:color="000000"/>
                  </w:tcBorders>
                  <w:vAlign w:val="center"/>
                </w:tcPr>
                <w:p w14:paraId="154F50DE" w14:textId="77777777" w:rsidR="008F794E" w:rsidRDefault="008F794E" w:rsidP="00674B8E">
                  <w:pPr>
                    <w:framePr w:hSpace="180" w:wrap="around" w:hAnchor="margin" w:xAlign="center" w:y="-561"/>
                  </w:pPr>
                  <w:r>
                    <w:rPr>
                      <w:b/>
                      <w:sz w:val="28"/>
                    </w:rPr>
                    <w:t xml:space="preserve">Assignment: </w:t>
                  </w:r>
                </w:p>
              </w:tc>
              <w:tc>
                <w:tcPr>
                  <w:tcW w:w="5715" w:type="dxa"/>
                  <w:tcBorders>
                    <w:top w:val="single" w:sz="4" w:space="0" w:color="000000"/>
                    <w:left w:val="single" w:sz="4" w:space="0" w:color="000000"/>
                    <w:bottom w:val="single" w:sz="4" w:space="0" w:color="000000"/>
                    <w:right w:val="single" w:sz="4" w:space="0" w:color="000000"/>
                  </w:tcBorders>
                  <w:vAlign w:val="center"/>
                </w:tcPr>
                <w:p w14:paraId="1EDE2114" w14:textId="1819C223" w:rsidR="008F794E" w:rsidRDefault="008F794E" w:rsidP="00674B8E">
                  <w:pPr>
                    <w:framePr w:hSpace="180" w:wrap="around" w:hAnchor="margin" w:xAlign="center" w:y="-561"/>
                  </w:pPr>
                  <w:r>
                    <w:rPr>
                      <w:sz w:val="24"/>
                    </w:rPr>
                    <w:t xml:space="preserve"> Research Project: Part A - Analysis</w:t>
                  </w:r>
                </w:p>
              </w:tc>
            </w:tr>
            <w:tr w:rsidR="008F794E" w14:paraId="5C15F6B2" w14:textId="77777777" w:rsidTr="007D0A6A">
              <w:trPr>
                <w:trHeight w:val="577"/>
              </w:trPr>
              <w:tc>
                <w:tcPr>
                  <w:tcW w:w="2809" w:type="dxa"/>
                  <w:tcBorders>
                    <w:top w:val="single" w:sz="4" w:space="0" w:color="000000"/>
                    <w:left w:val="single" w:sz="4" w:space="0" w:color="000000"/>
                    <w:bottom w:val="single" w:sz="4" w:space="0" w:color="000000"/>
                    <w:right w:val="single" w:sz="4" w:space="0" w:color="000000"/>
                  </w:tcBorders>
                  <w:vAlign w:val="center"/>
                </w:tcPr>
                <w:p w14:paraId="1FA04B98" w14:textId="77777777" w:rsidR="008F794E" w:rsidRDefault="008F794E" w:rsidP="00674B8E">
                  <w:pPr>
                    <w:framePr w:hSpace="180" w:wrap="around" w:hAnchor="margin" w:xAlign="center" w:y="-561"/>
                  </w:pPr>
                  <w:r>
                    <w:rPr>
                      <w:b/>
                      <w:sz w:val="28"/>
                    </w:rPr>
                    <w:t xml:space="preserve">Due Date: </w:t>
                  </w:r>
                </w:p>
              </w:tc>
              <w:tc>
                <w:tcPr>
                  <w:tcW w:w="5715" w:type="dxa"/>
                  <w:tcBorders>
                    <w:top w:val="single" w:sz="4" w:space="0" w:color="000000"/>
                    <w:left w:val="single" w:sz="4" w:space="0" w:color="000000"/>
                    <w:bottom w:val="single" w:sz="4" w:space="0" w:color="000000"/>
                    <w:right w:val="single" w:sz="4" w:space="0" w:color="000000"/>
                  </w:tcBorders>
                  <w:vAlign w:val="center"/>
                </w:tcPr>
                <w:p w14:paraId="6380B7BF" w14:textId="61DDFD3B" w:rsidR="008F794E" w:rsidRDefault="008F794E" w:rsidP="00674B8E">
                  <w:pPr>
                    <w:framePr w:hSpace="180" w:wrap="around" w:hAnchor="margin" w:xAlign="center" w:y="-561"/>
                  </w:pPr>
                  <w:r>
                    <w:rPr>
                      <w:sz w:val="24"/>
                    </w:rPr>
                    <w:t xml:space="preserve"> 22</w:t>
                  </w:r>
                  <w:r>
                    <w:rPr>
                      <w:sz w:val="24"/>
                      <w:vertAlign w:val="superscript"/>
                    </w:rPr>
                    <w:t>nd</w:t>
                  </w:r>
                  <w:r>
                    <w:rPr>
                      <w:sz w:val="24"/>
                    </w:rPr>
                    <w:t xml:space="preserve"> October, 2021</w:t>
                  </w:r>
                </w:p>
              </w:tc>
            </w:tr>
            <w:tr w:rsidR="008F794E" w14:paraId="3A0CA76D" w14:textId="77777777" w:rsidTr="007D0A6A">
              <w:trPr>
                <w:trHeight w:val="87"/>
              </w:trPr>
              <w:tc>
                <w:tcPr>
                  <w:tcW w:w="2809" w:type="dxa"/>
                  <w:tcBorders>
                    <w:top w:val="single" w:sz="4" w:space="0" w:color="000000"/>
                    <w:left w:val="single" w:sz="4" w:space="0" w:color="000000"/>
                    <w:bottom w:val="single" w:sz="4" w:space="0" w:color="000000"/>
                    <w:right w:val="single" w:sz="4" w:space="0" w:color="000000"/>
                  </w:tcBorders>
                  <w:vAlign w:val="center"/>
                </w:tcPr>
                <w:p w14:paraId="51A60279" w14:textId="77777777" w:rsidR="008F794E" w:rsidRDefault="008F794E" w:rsidP="00674B8E">
                  <w:pPr>
                    <w:framePr w:hSpace="180" w:wrap="around" w:hAnchor="margin" w:xAlign="center" w:y="-561"/>
                  </w:pPr>
                  <w:r>
                    <w:rPr>
                      <w:b/>
                      <w:sz w:val="28"/>
                    </w:rPr>
                    <w:t xml:space="preserve">Word Count: </w:t>
                  </w:r>
                </w:p>
              </w:tc>
              <w:tc>
                <w:tcPr>
                  <w:tcW w:w="5715" w:type="dxa"/>
                  <w:tcBorders>
                    <w:top w:val="single" w:sz="4" w:space="0" w:color="000000"/>
                    <w:left w:val="single" w:sz="4" w:space="0" w:color="000000"/>
                    <w:bottom w:val="single" w:sz="4" w:space="0" w:color="000000"/>
                    <w:right w:val="single" w:sz="4" w:space="0" w:color="000000"/>
                  </w:tcBorders>
                  <w:vAlign w:val="center"/>
                </w:tcPr>
                <w:p w14:paraId="68B9C6CD" w14:textId="56262354" w:rsidR="008F794E" w:rsidRDefault="008F794E" w:rsidP="00674B8E">
                  <w:pPr>
                    <w:framePr w:hSpace="180" w:wrap="around" w:hAnchor="margin" w:xAlign="center" w:y="-561"/>
                  </w:pPr>
                  <w:r>
                    <w:rPr>
                      <w:sz w:val="24"/>
                    </w:rPr>
                    <w:t xml:space="preserve"> 170</w:t>
                  </w:r>
                  <w:r w:rsidR="0074304D">
                    <w:rPr>
                      <w:sz w:val="24"/>
                    </w:rPr>
                    <w:t>9</w:t>
                  </w:r>
                </w:p>
              </w:tc>
            </w:tr>
          </w:tbl>
          <w:p w14:paraId="127FCB3B" w14:textId="77777777" w:rsidR="008F794E" w:rsidRDefault="008F794E" w:rsidP="007D0A6A">
            <w:pPr>
              <w:spacing w:after="19"/>
              <w:ind w:left="108"/>
            </w:pPr>
            <w:r>
              <w:rPr>
                <w:sz w:val="24"/>
              </w:rPr>
              <w:t xml:space="preserve"> </w:t>
            </w:r>
          </w:p>
          <w:p w14:paraId="4BA4469D" w14:textId="77777777" w:rsidR="008F794E" w:rsidRDefault="008F794E" w:rsidP="007D0A6A">
            <w:pPr>
              <w:ind w:right="1092"/>
              <w:jc w:val="center"/>
            </w:pPr>
            <w:r>
              <w:rPr>
                <w:b/>
                <w:sz w:val="28"/>
              </w:rPr>
              <w:t xml:space="preserve">STATEMENT REGARDING DISHONEST PRACTICE </w:t>
            </w:r>
          </w:p>
          <w:p w14:paraId="7835C701" w14:textId="77777777" w:rsidR="008F794E" w:rsidRDefault="008F794E" w:rsidP="007D0A6A">
            <w:pPr>
              <w:ind w:right="1094"/>
              <w:jc w:val="center"/>
            </w:pPr>
            <w:r>
              <w:rPr>
                <w:b/>
                <w:i/>
                <w:sz w:val="24"/>
              </w:rPr>
              <w:t xml:space="preserve">(in connection with the work submitted for assessment) </w:t>
            </w:r>
          </w:p>
          <w:p w14:paraId="422066A0" w14:textId="77777777" w:rsidR="008F794E" w:rsidRDefault="008F794E" w:rsidP="007D0A6A">
            <w:pPr>
              <w:spacing w:after="3" w:line="238" w:lineRule="auto"/>
              <w:ind w:left="108" w:right="1005"/>
            </w:pPr>
            <w:r>
              <w:rPr>
                <w:sz w:val="24"/>
              </w:rPr>
              <w:t xml:space="preserve">The University’s interpretation of what constitutes dishonest practice includes, but is not limited to, the following: </w:t>
            </w:r>
          </w:p>
          <w:p w14:paraId="700DEC4D" w14:textId="77777777" w:rsidR="008F794E" w:rsidRDefault="008F794E" w:rsidP="008F794E">
            <w:pPr>
              <w:numPr>
                <w:ilvl w:val="0"/>
                <w:numId w:val="2"/>
              </w:numPr>
              <w:spacing w:after="4" w:line="238" w:lineRule="auto"/>
              <w:ind w:right="815" w:hanging="360"/>
            </w:pPr>
            <w:r>
              <w:rPr>
                <w:b/>
                <w:sz w:val="24"/>
              </w:rPr>
              <w:t>Plagiarism</w:t>
            </w:r>
            <w:r>
              <w:rPr>
                <w:sz w:val="24"/>
              </w:rPr>
              <w:t xml:space="preserve">, being the deliberate presentation of any material (text, data or figures, on any medium including computer files) from any other source without clear and proper acknowledgement of the source of that material. </w:t>
            </w:r>
          </w:p>
          <w:p w14:paraId="612F408E" w14:textId="77777777" w:rsidR="008F794E" w:rsidRDefault="008F794E" w:rsidP="008F794E">
            <w:pPr>
              <w:numPr>
                <w:ilvl w:val="0"/>
                <w:numId w:val="2"/>
              </w:numPr>
              <w:spacing w:after="3" w:line="238" w:lineRule="auto"/>
              <w:ind w:right="815" w:hanging="360"/>
            </w:pPr>
            <w:r>
              <w:rPr>
                <w:b/>
                <w:sz w:val="24"/>
              </w:rPr>
              <w:t>Collusion</w:t>
            </w:r>
            <w:r>
              <w:rPr>
                <w:sz w:val="24"/>
              </w:rPr>
              <w:t xml:space="preserve">, being work performed in whole or in part in conjunction with another person or persons, but submitted as if it had been completed by the named author alone or joint authors if a group item of work.   </w:t>
            </w:r>
          </w:p>
          <w:p w14:paraId="6CCC67B7" w14:textId="77777777" w:rsidR="008F794E" w:rsidRDefault="008F794E" w:rsidP="008F794E">
            <w:pPr>
              <w:numPr>
                <w:ilvl w:val="0"/>
                <w:numId w:val="2"/>
              </w:numPr>
              <w:spacing w:after="3" w:line="238" w:lineRule="auto"/>
              <w:ind w:right="815" w:hanging="360"/>
            </w:pPr>
            <w:r>
              <w:rPr>
                <w:b/>
                <w:sz w:val="24"/>
              </w:rPr>
              <w:t>Copying</w:t>
            </w:r>
            <w:r>
              <w:rPr>
                <w:sz w:val="24"/>
              </w:rPr>
              <w:t xml:space="preserve">, being the use of material (in any medium, including computer files) produced by another person or persons, with or without their knowledge and approval. </w:t>
            </w:r>
          </w:p>
          <w:p w14:paraId="78B3D967" w14:textId="77777777" w:rsidR="008F794E" w:rsidRPr="00DC0356" w:rsidRDefault="008F794E" w:rsidP="008F794E">
            <w:pPr>
              <w:numPr>
                <w:ilvl w:val="0"/>
                <w:numId w:val="2"/>
              </w:numPr>
              <w:spacing w:line="238" w:lineRule="auto"/>
              <w:ind w:right="815" w:hanging="360"/>
            </w:pPr>
            <w:r>
              <w:rPr>
                <w:b/>
                <w:sz w:val="24"/>
              </w:rPr>
              <w:t>Ghost writing</w:t>
            </w:r>
            <w:r>
              <w:rPr>
                <w:sz w:val="24"/>
              </w:rPr>
              <w:t xml:space="preserve">, being the use of another party (with or without any form of payment) to prepare all or part of an item of work submitted for assessment. </w:t>
            </w:r>
          </w:p>
          <w:p w14:paraId="26A8436C" w14:textId="77777777" w:rsidR="008F794E" w:rsidRPr="00DC0356" w:rsidRDefault="008F794E" w:rsidP="007D0A6A">
            <w:pPr>
              <w:spacing w:line="238" w:lineRule="auto"/>
              <w:ind w:left="828" w:right="815"/>
            </w:pPr>
          </w:p>
          <w:p w14:paraId="202F5B94" w14:textId="77777777" w:rsidR="008F794E" w:rsidRDefault="008F794E" w:rsidP="007D0A6A">
            <w:pPr>
              <w:spacing w:line="244" w:lineRule="auto"/>
              <w:ind w:left="108" w:right="1168"/>
            </w:pPr>
            <w:r>
              <w:rPr>
                <w:sz w:val="24"/>
              </w:rPr>
              <w:t xml:space="preserve">Under the University Regulations, evidence of any of these or other forms of dishonest practice by any student(s) represents grounds for disciplinary action and may result in penalties ranging from denial of credit for the item of work in question to exclusion from the University.  The University’s full policy on Academic Integrity can be found at the following link: </w:t>
            </w:r>
          </w:p>
          <w:p w14:paraId="53D91255" w14:textId="77777777" w:rsidR="008F794E" w:rsidRDefault="00674B8E" w:rsidP="007D0A6A">
            <w:pPr>
              <w:spacing w:line="238" w:lineRule="auto"/>
            </w:pPr>
            <w:hyperlink r:id="rId5" w:history="1">
              <w:r w:rsidR="008F794E" w:rsidRPr="009D55AF">
                <w:rPr>
                  <w:rStyle w:val="Hyperlink"/>
                  <w:sz w:val="24"/>
                </w:rPr>
                <w:t>http://www.canterbury.ac.nz/ucpolicy/GetPolicy.aspx?file=Academic</w:t>
              </w:r>
            </w:hyperlink>
            <w:hyperlink r:id="rId6">
              <w:r w:rsidR="008F794E">
                <w:rPr>
                  <w:color w:val="0000FF"/>
                  <w:sz w:val="24"/>
                  <w:u w:val="single" w:color="0000FF"/>
                </w:rPr>
                <w:t>-</w:t>
              </w:r>
            </w:hyperlink>
            <w:hyperlink r:id="rId7">
              <w:r w:rsidR="008F794E">
                <w:rPr>
                  <w:color w:val="0000FF"/>
                  <w:sz w:val="24"/>
                  <w:u w:val="single" w:color="0000FF"/>
                </w:rPr>
                <w:t>Integrity</w:t>
              </w:r>
            </w:hyperlink>
            <w:hyperlink r:id="rId8"/>
            <w:hyperlink r:id="rId9">
              <w:r w:rsidR="008F794E">
                <w:rPr>
                  <w:color w:val="0000FF"/>
                  <w:sz w:val="24"/>
                  <w:u w:val="single" w:color="0000FF"/>
                </w:rPr>
                <w:t>Guidance</w:t>
              </w:r>
            </w:hyperlink>
            <w:hyperlink r:id="rId10">
              <w:r w:rsidR="008F794E">
                <w:rPr>
                  <w:color w:val="0000FF"/>
                  <w:sz w:val="24"/>
                  <w:u w:val="single" w:color="0000FF"/>
                </w:rPr>
                <w:t>-</w:t>
              </w:r>
            </w:hyperlink>
            <w:hyperlink r:id="rId11">
              <w:r w:rsidR="008F794E">
                <w:rPr>
                  <w:color w:val="0000FF"/>
                  <w:sz w:val="24"/>
                  <w:u w:val="single" w:color="0000FF"/>
                </w:rPr>
                <w:t>For</w:t>
              </w:r>
            </w:hyperlink>
            <w:hyperlink r:id="rId12">
              <w:r w:rsidR="008F794E">
                <w:rPr>
                  <w:color w:val="0000FF"/>
                  <w:sz w:val="24"/>
                  <w:u w:val="single" w:color="0000FF"/>
                </w:rPr>
                <w:t>-</w:t>
              </w:r>
            </w:hyperlink>
            <w:hyperlink r:id="rId13">
              <w:r w:rsidR="008F794E">
                <w:rPr>
                  <w:color w:val="0000FF"/>
                  <w:sz w:val="24"/>
                  <w:u w:val="single" w:color="0000FF"/>
                </w:rPr>
                <w:t>Staff</w:t>
              </w:r>
            </w:hyperlink>
            <w:hyperlink r:id="rId14">
              <w:r w:rsidR="008F794E">
                <w:rPr>
                  <w:color w:val="0000FF"/>
                  <w:sz w:val="24"/>
                  <w:u w:val="single" w:color="0000FF"/>
                </w:rPr>
                <w:t>-</w:t>
              </w:r>
            </w:hyperlink>
            <w:hyperlink r:id="rId15">
              <w:r w:rsidR="008F794E">
                <w:rPr>
                  <w:color w:val="0000FF"/>
                  <w:sz w:val="24"/>
                  <w:u w:val="single" w:color="0000FF"/>
                </w:rPr>
                <w:t>And</w:t>
              </w:r>
            </w:hyperlink>
            <w:hyperlink r:id="rId16">
              <w:r w:rsidR="008F794E">
                <w:rPr>
                  <w:color w:val="0000FF"/>
                  <w:sz w:val="24"/>
                  <w:u w:val="single" w:color="0000FF"/>
                </w:rPr>
                <w:t>-</w:t>
              </w:r>
            </w:hyperlink>
            <w:hyperlink r:id="rId17">
              <w:r w:rsidR="008F794E">
                <w:rPr>
                  <w:color w:val="0000FF"/>
                  <w:sz w:val="24"/>
                  <w:u w:val="single" w:color="0000FF"/>
                </w:rPr>
                <w:t>Students.pdf</w:t>
              </w:r>
            </w:hyperlink>
            <w:hyperlink r:id="rId18">
              <w:r w:rsidR="008F794E">
                <w:rPr>
                  <w:sz w:val="24"/>
                </w:rPr>
                <w:t xml:space="preserve"> </w:t>
              </w:r>
            </w:hyperlink>
          </w:p>
          <w:p w14:paraId="49A1315A" w14:textId="77777777" w:rsidR="008F794E" w:rsidRDefault="008F794E" w:rsidP="007D0A6A">
            <w:pPr>
              <w:ind w:left="108"/>
            </w:pPr>
            <w:r>
              <w:rPr>
                <w:sz w:val="24"/>
              </w:rPr>
              <w:t xml:space="preserve"> </w:t>
            </w:r>
          </w:p>
          <w:p w14:paraId="47EF27CE" w14:textId="77777777" w:rsidR="008F794E" w:rsidRDefault="008F794E" w:rsidP="007D0A6A">
            <w:pPr>
              <w:spacing w:line="238" w:lineRule="auto"/>
              <w:ind w:left="108" w:right="1097"/>
            </w:pPr>
            <w:r>
              <w:rPr>
                <w:b/>
                <w:sz w:val="24"/>
              </w:rPr>
              <w:t>DECLARATION:</w:t>
            </w:r>
            <w:r>
              <w:rPr>
                <w:sz w:val="24"/>
              </w:rPr>
              <w:t xml:space="preserve">  I have read and fully understand the statement above regarding Dishonest Practice and hereby certify that this item of work submitted for assessment is entirely my own work. </w:t>
            </w:r>
          </w:p>
          <w:p w14:paraId="3CD6E912" w14:textId="29D560F1" w:rsidR="008F794E" w:rsidRDefault="008F794E" w:rsidP="007D0A6A">
            <w:pPr>
              <w:ind w:left="108"/>
            </w:pPr>
            <w:r>
              <w:rPr>
                <w:sz w:val="24"/>
              </w:rPr>
              <w:t xml:space="preserve"> </w:t>
            </w:r>
            <w:r>
              <w:rPr>
                <w:sz w:val="24"/>
              </w:rPr>
              <w:tab/>
              <w:t xml:space="preserve">                                                                                                    Date:  19/10/2021 </w:t>
            </w:r>
          </w:p>
        </w:tc>
      </w:tr>
    </w:tbl>
    <w:p w14:paraId="678DCEFA" w14:textId="0384D0D6" w:rsidR="008F794E" w:rsidRDefault="008F794E" w:rsidP="008F794E">
      <w:pPr>
        <w:rPr>
          <w:b/>
          <w:bCs/>
          <w:color w:val="000000" w:themeColor="text1"/>
          <w:sz w:val="36"/>
          <w:szCs w:val="36"/>
          <w:lang w:val="en-US"/>
        </w:rPr>
      </w:pPr>
    </w:p>
    <w:p w14:paraId="194C6495" w14:textId="77777777" w:rsidR="008F794E" w:rsidRDefault="008F794E" w:rsidP="008F794E">
      <w:pPr>
        <w:rPr>
          <w:b/>
          <w:bCs/>
          <w:color w:val="000000" w:themeColor="text1"/>
          <w:sz w:val="36"/>
          <w:szCs w:val="36"/>
          <w:lang w:val="en-US"/>
        </w:rPr>
      </w:pPr>
    </w:p>
    <w:p w14:paraId="702B1BB7" w14:textId="057FC7E7" w:rsidR="00B3052E" w:rsidRPr="009D792A" w:rsidRDefault="00B3052E" w:rsidP="00B3052E">
      <w:pPr>
        <w:jc w:val="center"/>
        <w:rPr>
          <w:b/>
          <w:bCs/>
          <w:color w:val="000000" w:themeColor="text1"/>
          <w:sz w:val="36"/>
          <w:szCs w:val="36"/>
          <w:lang w:val="en-US"/>
        </w:rPr>
      </w:pPr>
      <w:r w:rsidRPr="009D792A">
        <w:rPr>
          <w:b/>
          <w:bCs/>
          <w:color w:val="000000" w:themeColor="text1"/>
          <w:sz w:val="36"/>
          <w:szCs w:val="36"/>
          <w:lang w:val="en-US"/>
        </w:rPr>
        <w:lastRenderedPageBreak/>
        <w:t>GISC101 Research Project</w:t>
      </w:r>
    </w:p>
    <w:p w14:paraId="2F7D8E3C" w14:textId="7CEAE25C" w:rsidR="00BA5A31" w:rsidRDefault="00BA5A31" w:rsidP="00BA5A31">
      <w:pPr>
        <w:rPr>
          <w:color w:val="000000" w:themeColor="text1"/>
          <w:lang w:val="en-US"/>
        </w:rPr>
      </w:pPr>
    </w:p>
    <w:p w14:paraId="59FAEDD0" w14:textId="77777777" w:rsidR="009D792A" w:rsidRPr="00BA5A31" w:rsidRDefault="009D792A" w:rsidP="00BA5A31">
      <w:pPr>
        <w:rPr>
          <w:rFonts w:cstheme="minorHAnsi"/>
          <w:color w:val="000000" w:themeColor="text1"/>
        </w:rPr>
      </w:pPr>
    </w:p>
    <w:p w14:paraId="1DCE82F7" w14:textId="16830165" w:rsidR="009D792A" w:rsidRPr="009D792A" w:rsidRDefault="001321B8" w:rsidP="009D792A">
      <w:pPr>
        <w:jc w:val="center"/>
        <w:rPr>
          <w:b/>
          <w:bCs/>
          <w:color w:val="000000" w:themeColor="text1"/>
          <w:sz w:val="32"/>
          <w:szCs w:val="32"/>
          <w:lang w:val="en-US"/>
        </w:rPr>
      </w:pPr>
      <w:r w:rsidRPr="001321B8">
        <w:rPr>
          <w:b/>
          <w:bCs/>
          <w:color w:val="000000" w:themeColor="text1"/>
          <w:sz w:val="32"/>
          <w:szCs w:val="32"/>
          <w:lang w:val="en-US"/>
        </w:rPr>
        <w:t>Part A: Data analysis, code, and report</w:t>
      </w:r>
    </w:p>
    <w:p w14:paraId="127F1A3F" w14:textId="311EA56D" w:rsidR="001321B8" w:rsidRDefault="001321B8" w:rsidP="00B3052E">
      <w:pPr>
        <w:rPr>
          <w:color w:val="000000" w:themeColor="text1"/>
          <w:lang w:val="en-US"/>
        </w:rPr>
      </w:pPr>
    </w:p>
    <w:p w14:paraId="5730F1FD" w14:textId="57EF5C3A" w:rsidR="00B3052E" w:rsidRDefault="001321B8" w:rsidP="00B3052E">
      <w:pPr>
        <w:rPr>
          <w:color w:val="000000" w:themeColor="text1"/>
          <w:lang w:val="en-US"/>
        </w:rPr>
      </w:pPr>
      <w:r w:rsidRPr="001321B8">
        <w:rPr>
          <w:b/>
          <w:bCs/>
          <w:color w:val="000000" w:themeColor="text1"/>
          <w:sz w:val="28"/>
          <w:szCs w:val="28"/>
          <w:lang w:val="en-US"/>
        </w:rPr>
        <w:t>Introduction:</w:t>
      </w:r>
      <w:r>
        <w:rPr>
          <w:color w:val="000000" w:themeColor="text1"/>
          <w:lang w:val="en-US"/>
        </w:rPr>
        <w:t xml:space="preserve"> </w:t>
      </w:r>
    </w:p>
    <w:p w14:paraId="6C8816A8" w14:textId="500EDEBB" w:rsidR="00BC2C4F" w:rsidRDefault="00262AD7" w:rsidP="00B3052E">
      <w:pPr>
        <w:rPr>
          <w:color w:val="000000" w:themeColor="text1"/>
          <w:lang w:val="en-US"/>
        </w:rPr>
      </w:pPr>
      <w:r>
        <w:rPr>
          <w:color w:val="000000" w:themeColor="text1"/>
          <w:lang w:val="en-US"/>
        </w:rPr>
        <w:t>The rise of macroinvertebrate</w:t>
      </w:r>
      <w:r w:rsidR="008137EB">
        <w:rPr>
          <w:color w:val="000000" w:themeColor="text1"/>
          <w:lang w:val="en-US"/>
        </w:rPr>
        <w:t>s</w:t>
      </w:r>
      <w:r>
        <w:rPr>
          <w:color w:val="000000" w:themeColor="text1"/>
          <w:lang w:val="en-US"/>
        </w:rPr>
        <w:t xml:space="preserve"> has been accompanied by </w:t>
      </w:r>
      <w:r w:rsidR="00456591">
        <w:rPr>
          <w:color w:val="000000" w:themeColor="text1"/>
          <w:lang w:val="en-US"/>
        </w:rPr>
        <w:t>improved</w:t>
      </w:r>
      <w:r>
        <w:rPr>
          <w:color w:val="000000" w:themeColor="text1"/>
          <w:lang w:val="en-US"/>
        </w:rPr>
        <w:t xml:space="preserve"> health of </w:t>
      </w:r>
      <w:r w:rsidR="000C3685">
        <w:rPr>
          <w:color w:val="000000" w:themeColor="text1"/>
          <w:lang w:val="en-US"/>
        </w:rPr>
        <w:t>streams in South Island, New Zealand</w:t>
      </w:r>
      <w:r w:rsidR="00986D5A">
        <w:rPr>
          <w:color w:val="000000" w:themeColor="text1"/>
          <w:lang w:val="en-US"/>
        </w:rPr>
        <w:t xml:space="preserve"> (StatsNZ, 2020). </w:t>
      </w:r>
      <w:r w:rsidR="002B235E">
        <w:rPr>
          <w:color w:val="000000" w:themeColor="text1"/>
          <w:lang w:val="en-US"/>
        </w:rPr>
        <w:t xml:space="preserve">The Macroinvertebrate Community Index (MCI) indicates the health of the freshwater ecosystem and the water quality of rivers. </w:t>
      </w:r>
      <w:r w:rsidR="002769D0">
        <w:rPr>
          <w:color w:val="000000" w:themeColor="text1"/>
          <w:lang w:val="en-US"/>
        </w:rPr>
        <w:t>Macroinvertebrates are aquatic boneless organism</w:t>
      </w:r>
      <w:r w:rsidR="008137EB">
        <w:rPr>
          <w:color w:val="000000" w:themeColor="text1"/>
          <w:lang w:val="en-US"/>
        </w:rPr>
        <w:t>s</w:t>
      </w:r>
      <w:r w:rsidR="002769D0">
        <w:rPr>
          <w:color w:val="000000" w:themeColor="text1"/>
          <w:lang w:val="en-US"/>
        </w:rPr>
        <w:t xml:space="preserve"> </w:t>
      </w:r>
      <w:r w:rsidR="008137EB">
        <w:rPr>
          <w:color w:val="000000" w:themeColor="text1"/>
          <w:lang w:val="en-US"/>
        </w:rPr>
        <w:t>that</w:t>
      </w:r>
      <w:r w:rsidR="002769D0">
        <w:rPr>
          <w:color w:val="000000" w:themeColor="text1"/>
          <w:lang w:val="en-US"/>
        </w:rPr>
        <w:t xml:space="preserve"> are tiny but visible to the naked eye.</w:t>
      </w:r>
      <w:r w:rsidR="002B235E">
        <w:rPr>
          <w:color w:val="000000" w:themeColor="text1"/>
          <w:lang w:val="en-US"/>
        </w:rPr>
        <w:t xml:space="preserve"> </w:t>
      </w:r>
      <w:r w:rsidR="002769D0">
        <w:rPr>
          <w:color w:val="000000" w:themeColor="text1"/>
          <w:lang w:val="en-US"/>
        </w:rPr>
        <w:t xml:space="preserve">These </w:t>
      </w:r>
      <w:r w:rsidR="00454868">
        <w:rPr>
          <w:color w:val="000000" w:themeColor="text1"/>
          <w:lang w:val="en-US"/>
        </w:rPr>
        <w:t>benthic macroinvertebrates spend their entire lifespan attached to rocks, under soaked logs, aquatic plants, and burrowed into sediments</w:t>
      </w:r>
      <w:r w:rsidR="0085476A">
        <w:rPr>
          <w:color w:val="000000" w:themeColor="text1"/>
          <w:lang w:val="en-US"/>
        </w:rPr>
        <w:t xml:space="preserve"> or debris</w:t>
      </w:r>
      <w:r w:rsidR="00EE507F">
        <w:rPr>
          <w:color w:val="000000" w:themeColor="text1"/>
          <w:lang w:val="en-US"/>
        </w:rPr>
        <w:t xml:space="preserve"> (StatsNZ, 2020)</w:t>
      </w:r>
      <w:r w:rsidR="00454868">
        <w:rPr>
          <w:color w:val="000000" w:themeColor="text1"/>
          <w:lang w:val="en-US"/>
        </w:rPr>
        <w:t>.</w:t>
      </w:r>
      <w:r w:rsidR="00630924">
        <w:rPr>
          <w:color w:val="000000" w:themeColor="text1"/>
          <w:lang w:val="en-US"/>
        </w:rPr>
        <w:t xml:space="preserve"> It is important to consider their role </w:t>
      </w:r>
      <w:r w:rsidR="004F359C">
        <w:rPr>
          <w:color w:val="000000" w:themeColor="text1"/>
          <w:lang w:val="en-US"/>
        </w:rPr>
        <w:t>in</w:t>
      </w:r>
      <w:r w:rsidR="00630924">
        <w:rPr>
          <w:color w:val="000000" w:themeColor="text1"/>
          <w:lang w:val="en-US"/>
        </w:rPr>
        <w:t xml:space="preserve"> processing aquatic organic matter</w:t>
      </w:r>
      <w:r w:rsidR="00926994">
        <w:rPr>
          <w:color w:val="000000" w:themeColor="text1"/>
          <w:lang w:val="en-US"/>
        </w:rPr>
        <w:t xml:space="preserve"> as it provides valuable cleansing assistance in decaying bacteria, plants</w:t>
      </w:r>
      <w:r w:rsidR="00BC2C4F">
        <w:rPr>
          <w:color w:val="000000" w:themeColor="text1"/>
          <w:lang w:val="en-US"/>
        </w:rPr>
        <w:t xml:space="preserve">, </w:t>
      </w:r>
      <w:r w:rsidR="006E3966">
        <w:rPr>
          <w:color w:val="000000" w:themeColor="text1"/>
          <w:lang w:val="en-US"/>
        </w:rPr>
        <w:t xml:space="preserve">and </w:t>
      </w:r>
      <w:r w:rsidR="00BC2C4F">
        <w:rPr>
          <w:color w:val="000000" w:themeColor="text1"/>
          <w:lang w:val="en-US"/>
        </w:rPr>
        <w:t>animals</w:t>
      </w:r>
      <w:r w:rsidR="00926994">
        <w:rPr>
          <w:color w:val="000000" w:themeColor="text1"/>
          <w:lang w:val="en-US"/>
        </w:rPr>
        <w:t xml:space="preserve"> that helps recycle nutrients back into the stream ecosystem</w:t>
      </w:r>
      <w:r w:rsidR="0085476A">
        <w:rPr>
          <w:color w:val="000000" w:themeColor="text1"/>
          <w:lang w:val="en-US"/>
        </w:rPr>
        <w:t>.</w:t>
      </w:r>
      <w:r w:rsidR="00926994">
        <w:rPr>
          <w:color w:val="000000" w:themeColor="text1"/>
          <w:lang w:val="en-US"/>
        </w:rPr>
        <w:t xml:space="preserve"> T</w:t>
      </w:r>
      <w:r w:rsidR="00630924">
        <w:rPr>
          <w:color w:val="000000" w:themeColor="text1"/>
          <w:lang w:val="en-US"/>
        </w:rPr>
        <w:t>hey</w:t>
      </w:r>
      <w:r w:rsidR="006E3966">
        <w:rPr>
          <w:color w:val="000000" w:themeColor="text1"/>
          <w:lang w:val="en-US"/>
        </w:rPr>
        <w:t xml:space="preserve"> also</w:t>
      </w:r>
      <w:r w:rsidR="00630924">
        <w:rPr>
          <w:color w:val="000000" w:themeColor="text1"/>
          <w:lang w:val="en-US"/>
        </w:rPr>
        <w:t xml:space="preserve"> supply a significant food source</w:t>
      </w:r>
      <w:r w:rsidR="0085476A">
        <w:rPr>
          <w:color w:val="000000" w:themeColor="text1"/>
          <w:lang w:val="en-US"/>
        </w:rPr>
        <w:t xml:space="preserve"> for periphyton</w:t>
      </w:r>
      <w:r w:rsidR="006E3966">
        <w:rPr>
          <w:color w:val="000000" w:themeColor="text1"/>
          <w:lang w:val="en-US"/>
        </w:rPr>
        <w:t xml:space="preserve"> (algae)</w:t>
      </w:r>
      <w:r w:rsidR="0085476A">
        <w:rPr>
          <w:color w:val="000000" w:themeColor="text1"/>
          <w:lang w:val="en-US"/>
        </w:rPr>
        <w:t>, macrophytes</w:t>
      </w:r>
      <w:r w:rsidR="006E3966">
        <w:rPr>
          <w:color w:val="000000" w:themeColor="text1"/>
          <w:lang w:val="en-US"/>
        </w:rPr>
        <w:t xml:space="preserve"> (aquatic plants)</w:t>
      </w:r>
      <w:r w:rsidR="0085476A">
        <w:rPr>
          <w:color w:val="000000" w:themeColor="text1"/>
          <w:lang w:val="en-US"/>
        </w:rPr>
        <w:t>, rotten woods and leaves, or for themselves</w:t>
      </w:r>
      <w:r w:rsidR="00EE507F">
        <w:rPr>
          <w:color w:val="000000" w:themeColor="text1"/>
          <w:lang w:val="en-US"/>
        </w:rPr>
        <w:t xml:space="preserve"> (LAWA, 2021)</w:t>
      </w:r>
      <w:r w:rsidR="0085476A">
        <w:rPr>
          <w:color w:val="000000" w:themeColor="text1"/>
          <w:lang w:val="en-US"/>
        </w:rPr>
        <w:t xml:space="preserve">. </w:t>
      </w:r>
      <w:r w:rsidR="00E57814">
        <w:rPr>
          <w:color w:val="000000" w:themeColor="text1"/>
          <w:lang w:val="en-US"/>
        </w:rPr>
        <w:t xml:space="preserve">One of the challenging factors that macroinvertebrates encounter </w:t>
      </w:r>
      <w:r w:rsidR="00926994">
        <w:rPr>
          <w:color w:val="000000" w:themeColor="text1"/>
          <w:lang w:val="en-US"/>
        </w:rPr>
        <w:t>in day-to-day life is</w:t>
      </w:r>
      <w:r w:rsidR="00E57814">
        <w:rPr>
          <w:color w:val="000000" w:themeColor="text1"/>
          <w:lang w:val="en-US"/>
        </w:rPr>
        <w:t xml:space="preserve"> climate change</w:t>
      </w:r>
      <w:r w:rsidR="00D74A2A">
        <w:rPr>
          <w:color w:val="000000" w:themeColor="text1"/>
          <w:lang w:val="en-US"/>
        </w:rPr>
        <w:t>,</w:t>
      </w:r>
      <w:r w:rsidR="0080051A">
        <w:rPr>
          <w:color w:val="000000" w:themeColor="text1"/>
          <w:lang w:val="en-US"/>
        </w:rPr>
        <w:t xml:space="preserve"> where it affects their habitats by the alteration of the temperatures in waters. </w:t>
      </w:r>
      <w:r w:rsidR="00BC2C4F">
        <w:rPr>
          <w:color w:val="000000" w:themeColor="text1"/>
          <w:lang w:val="en-US"/>
        </w:rPr>
        <w:t>The change in freshwater ecosystems, hydrological cycles, and</w:t>
      </w:r>
      <w:r w:rsidR="004F359C">
        <w:rPr>
          <w:color w:val="000000" w:themeColor="text1"/>
          <w:lang w:val="en-US"/>
        </w:rPr>
        <w:t xml:space="preserve"> the</w:t>
      </w:r>
      <w:r w:rsidR="00BC2C4F">
        <w:rPr>
          <w:color w:val="000000" w:themeColor="text1"/>
          <w:lang w:val="en-US"/>
        </w:rPr>
        <w:t xml:space="preserve"> health of streams manifests something about how</w:t>
      </w:r>
      <w:r w:rsidR="004F359C">
        <w:rPr>
          <w:color w:val="000000" w:themeColor="text1"/>
          <w:lang w:val="en-US"/>
        </w:rPr>
        <w:t xml:space="preserve"> the</w:t>
      </w:r>
      <w:r w:rsidR="00BC2C4F">
        <w:rPr>
          <w:color w:val="000000" w:themeColor="text1"/>
          <w:lang w:val="en-US"/>
        </w:rPr>
        <w:t xml:space="preserve"> normal existence of macroinvertebrates is affected by climate change</w:t>
      </w:r>
      <w:r w:rsidR="002B235E">
        <w:rPr>
          <w:color w:val="000000" w:themeColor="text1"/>
          <w:lang w:val="en-US"/>
        </w:rPr>
        <w:t xml:space="preserve"> (Ministry for the Environment, 2010).</w:t>
      </w:r>
    </w:p>
    <w:p w14:paraId="74565252" w14:textId="2EA0F918" w:rsidR="006E3966" w:rsidRDefault="006E3966" w:rsidP="00B3052E">
      <w:pPr>
        <w:rPr>
          <w:color w:val="000000" w:themeColor="text1"/>
          <w:lang w:val="en-US"/>
        </w:rPr>
      </w:pPr>
    </w:p>
    <w:p w14:paraId="22C88438" w14:textId="1BFC4299" w:rsidR="00DA20B3" w:rsidRDefault="006E3966" w:rsidP="00B3052E">
      <w:pPr>
        <w:rPr>
          <w:color w:val="000000" w:themeColor="text1"/>
          <w:lang w:val="en-US"/>
        </w:rPr>
      </w:pPr>
      <w:r>
        <w:rPr>
          <w:color w:val="000000" w:themeColor="text1"/>
          <w:lang w:val="en-US"/>
        </w:rPr>
        <w:t xml:space="preserve">Although MCI has been studied in </w:t>
      </w:r>
      <w:r w:rsidR="00CE1C91">
        <w:rPr>
          <w:color w:val="000000" w:themeColor="text1"/>
          <w:lang w:val="en-US"/>
        </w:rPr>
        <w:t>detail</w:t>
      </w:r>
      <w:r>
        <w:rPr>
          <w:color w:val="000000" w:themeColor="text1"/>
          <w:lang w:val="en-US"/>
        </w:rPr>
        <w:t xml:space="preserve"> by the StatsNZ (2020), insufficient attention has been </w:t>
      </w:r>
      <w:r w:rsidR="00CE1C91">
        <w:rPr>
          <w:color w:val="000000" w:themeColor="text1"/>
          <w:lang w:val="en-US"/>
        </w:rPr>
        <w:t xml:space="preserve">focused </w:t>
      </w:r>
      <w:r w:rsidR="004F359C">
        <w:rPr>
          <w:color w:val="000000" w:themeColor="text1"/>
          <w:lang w:val="en-US"/>
        </w:rPr>
        <w:t>on</w:t>
      </w:r>
      <w:r w:rsidR="00E6589B">
        <w:rPr>
          <w:color w:val="000000" w:themeColor="text1"/>
          <w:lang w:val="en-US"/>
        </w:rPr>
        <w:t xml:space="preserve"> the water quality of major rivers in New Zealand.</w:t>
      </w:r>
      <w:r w:rsidR="00CE1C91">
        <w:rPr>
          <w:color w:val="000000" w:themeColor="text1"/>
          <w:lang w:val="en-US"/>
        </w:rPr>
        <w:t xml:space="preserve"> </w:t>
      </w:r>
      <w:r w:rsidR="00E6589B">
        <w:rPr>
          <w:color w:val="000000" w:themeColor="text1"/>
          <w:lang w:val="en-US"/>
        </w:rPr>
        <w:t>The approach of this investigation is aimed at studying the effect of median MCI scores as it indicates the overall health in South Island major rivers. The second aim is to examine the inequalities in the health status of</w:t>
      </w:r>
      <w:r w:rsidR="00DA20B3">
        <w:rPr>
          <w:color w:val="000000" w:themeColor="text1"/>
          <w:lang w:val="en-US"/>
        </w:rPr>
        <w:t xml:space="preserve"> the</w:t>
      </w:r>
      <w:r w:rsidR="00E6589B">
        <w:rPr>
          <w:color w:val="000000" w:themeColor="text1"/>
          <w:lang w:val="en-US"/>
        </w:rPr>
        <w:t xml:space="preserve"> major rivers which can be affected by its median MCI and certain climate conditions.</w:t>
      </w:r>
      <w:r w:rsidR="00DA20B3">
        <w:rPr>
          <w:color w:val="000000" w:themeColor="text1"/>
          <w:lang w:val="en-US"/>
        </w:rPr>
        <w:t xml:space="preserve"> </w:t>
      </w:r>
      <w:r w:rsidR="007051D0">
        <w:rPr>
          <w:color w:val="000000" w:themeColor="text1"/>
          <w:lang w:val="en-US"/>
        </w:rPr>
        <w:t xml:space="preserve">The importance of looking into studying </w:t>
      </w:r>
      <w:r w:rsidR="00E6589B">
        <w:rPr>
          <w:color w:val="000000" w:themeColor="text1"/>
          <w:lang w:val="en-US"/>
        </w:rPr>
        <w:t>the estimated median MCI and inspecting the imbalances in the health condition</w:t>
      </w:r>
      <w:r w:rsidR="00DA20B3">
        <w:rPr>
          <w:color w:val="000000" w:themeColor="text1"/>
          <w:lang w:val="en-US"/>
        </w:rPr>
        <w:t xml:space="preserve"> of the stream ecosystem is to determine the </w:t>
      </w:r>
      <w:r w:rsidR="007051D0">
        <w:rPr>
          <w:color w:val="000000" w:themeColor="text1"/>
          <w:lang w:val="en-US"/>
        </w:rPr>
        <w:t>health of</w:t>
      </w:r>
      <w:r w:rsidR="004F359C">
        <w:rPr>
          <w:color w:val="000000" w:themeColor="text1"/>
          <w:lang w:val="en-US"/>
        </w:rPr>
        <w:t xml:space="preserve"> the</w:t>
      </w:r>
      <w:r w:rsidR="007051D0">
        <w:rPr>
          <w:color w:val="000000" w:themeColor="text1"/>
          <w:lang w:val="en-US"/>
        </w:rPr>
        <w:t xml:space="preserve"> biological community in streams</w:t>
      </w:r>
      <w:r w:rsidR="00D650F9">
        <w:rPr>
          <w:color w:val="000000" w:themeColor="text1"/>
          <w:lang w:val="en-US"/>
        </w:rPr>
        <w:t>.</w:t>
      </w:r>
    </w:p>
    <w:p w14:paraId="6834882F" w14:textId="77777777" w:rsidR="00DA20B3" w:rsidRDefault="00DA20B3" w:rsidP="00B3052E">
      <w:pPr>
        <w:rPr>
          <w:color w:val="000000" w:themeColor="text1"/>
          <w:lang w:val="en-US"/>
        </w:rPr>
      </w:pPr>
    </w:p>
    <w:p w14:paraId="187AD51B" w14:textId="77777777" w:rsidR="009D792A" w:rsidRDefault="009D792A" w:rsidP="00B3052E">
      <w:pPr>
        <w:rPr>
          <w:color w:val="000000" w:themeColor="text1"/>
          <w:lang w:val="en-US"/>
        </w:rPr>
      </w:pPr>
    </w:p>
    <w:p w14:paraId="3F955E0E" w14:textId="77777777" w:rsidR="009D792A" w:rsidRDefault="009D792A" w:rsidP="00B3052E">
      <w:pPr>
        <w:rPr>
          <w:color w:val="000000" w:themeColor="text1"/>
          <w:lang w:val="en-US"/>
        </w:rPr>
      </w:pPr>
    </w:p>
    <w:p w14:paraId="2BD0727B" w14:textId="3B4E22AF" w:rsidR="00D650F9" w:rsidRPr="00B67B11" w:rsidRDefault="00B67B11" w:rsidP="00B3052E">
      <w:pPr>
        <w:rPr>
          <w:b/>
          <w:bCs/>
          <w:color w:val="000000" w:themeColor="text1"/>
          <w:sz w:val="28"/>
          <w:szCs w:val="28"/>
          <w:lang w:val="en-US"/>
        </w:rPr>
      </w:pPr>
      <w:r w:rsidRPr="00B67B11">
        <w:rPr>
          <w:b/>
          <w:bCs/>
          <w:color w:val="000000" w:themeColor="text1"/>
          <w:sz w:val="28"/>
          <w:szCs w:val="28"/>
          <w:lang w:val="en-US"/>
        </w:rPr>
        <w:t>Data and Methods:</w:t>
      </w:r>
    </w:p>
    <w:p w14:paraId="6F3858E0" w14:textId="0E972841" w:rsidR="009D792A" w:rsidRDefault="00DA20B3" w:rsidP="00B3052E">
      <w:pPr>
        <w:rPr>
          <w:color w:val="000000" w:themeColor="text1"/>
          <w:lang w:val="en-US"/>
        </w:rPr>
      </w:pPr>
      <w:r>
        <w:rPr>
          <w:color w:val="000000" w:themeColor="text1"/>
          <w:lang w:val="en-US"/>
        </w:rPr>
        <w:t xml:space="preserve">In this project, three datasets were </w:t>
      </w:r>
      <w:r w:rsidR="004E29EF">
        <w:rPr>
          <w:color w:val="000000" w:themeColor="text1"/>
          <w:lang w:val="en-US"/>
        </w:rPr>
        <w:t>used,</w:t>
      </w:r>
      <w:r>
        <w:rPr>
          <w:color w:val="000000" w:themeColor="text1"/>
          <w:lang w:val="en-US"/>
        </w:rPr>
        <w:t xml:space="preserve"> and the relevant information was summarized in (Table 1).</w:t>
      </w:r>
      <w:r w:rsidR="00F33C46">
        <w:rPr>
          <w:color w:val="000000" w:themeColor="text1"/>
          <w:lang w:val="en-US"/>
        </w:rPr>
        <w:t xml:space="preserve"> </w:t>
      </w:r>
      <w:r w:rsidR="004E29EF">
        <w:rPr>
          <w:color w:val="000000" w:themeColor="text1"/>
          <w:lang w:val="en-US"/>
        </w:rPr>
        <w:t xml:space="preserve">The data that was accessed in this research are from the Ministry for the Environment that contains 512 </w:t>
      </w:r>
      <w:r w:rsidR="00E74497">
        <w:rPr>
          <w:color w:val="000000" w:themeColor="text1"/>
          <w:lang w:val="en-US"/>
        </w:rPr>
        <w:t>MCI</w:t>
      </w:r>
      <w:r w:rsidR="004E29EF">
        <w:rPr>
          <w:color w:val="000000" w:themeColor="text1"/>
          <w:lang w:val="en-US"/>
        </w:rPr>
        <w:t xml:space="preserve"> sites having 14 unique variables</w:t>
      </w:r>
      <w:r w:rsidR="00E74497">
        <w:rPr>
          <w:color w:val="000000" w:themeColor="text1"/>
          <w:lang w:val="en-US"/>
        </w:rPr>
        <w:t xml:space="preserve"> (Ministry for the Environment, 2016).</w:t>
      </w:r>
      <w:r w:rsidR="00F33C46">
        <w:rPr>
          <w:color w:val="000000" w:themeColor="text1"/>
          <w:lang w:val="en-US"/>
        </w:rPr>
        <w:t xml:space="preserve"> </w:t>
      </w:r>
      <w:r w:rsidR="00E74497">
        <w:rPr>
          <w:color w:val="000000" w:themeColor="text1"/>
          <w:lang w:val="en-US"/>
        </w:rPr>
        <w:t>The second dataset is from Koordinates which consisted of 680 river sites</w:t>
      </w:r>
      <w:r w:rsidR="00F33C46">
        <w:rPr>
          <w:color w:val="000000" w:themeColor="text1"/>
          <w:lang w:val="en-US"/>
        </w:rPr>
        <w:t xml:space="preserve"> having 8 variables (Koordinates, 2008). The last dataset that was operated is from StatsNZ which had 22 Territorial Authorities containing 10 variables (StatsNZ Tatauranga Aotearoa, 2020). All three dataset </w:t>
      </w:r>
      <w:r w:rsidR="004F359C">
        <w:rPr>
          <w:color w:val="000000" w:themeColor="text1"/>
          <w:lang w:val="en-US"/>
        </w:rPr>
        <w:t>was</w:t>
      </w:r>
      <w:r w:rsidR="00A73FD1">
        <w:rPr>
          <w:color w:val="000000" w:themeColor="text1"/>
          <w:lang w:val="en-US"/>
        </w:rPr>
        <w:t xml:space="preserve"> restricted in being downloaded as a GeoPackage / SQLite. </w:t>
      </w:r>
      <w:r w:rsidR="00B7354B">
        <w:rPr>
          <w:color w:val="000000" w:themeColor="text1"/>
          <w:lang w:val="en-US"/>
        </w:rPr>
        <w:t xml:space="preserve">By downloading each dataset by GeoPackage / SQLite </w:t>
      </w:r>
      <w:r w:rsidR="00316890">
        <w:rPr>
          <w:color w:val="000000" w:themeColor="text1"/>
          <w:lang w:val="en-US"/>
        </w:rPr>
        <w:t xml:space="preserve">in RStudio </w:t>
      </w:r>
      <w:r w:rsidR="00EC6E5B">
        <w:rPr>
          <w:color w:val="000000" w:themeColor="text1"/>
          <w:lang w:val="en-US"/>
        </w:rPr>
        <w:t xml:space="preserve">it made the data preparation easier to manage and organized. </w:t>
      </w:r>
      <w:r w:rsidR="00754BCC">
        <w:rPr>
          <w:color w:val="000000" w:themeColor="text1"/>
          <w:lang w:val="en-US"/>
        </w:rPr>
        <w:t>As</w:t>
      </w:r>
      <w:r w:rsidR="009518C2">
        <w:rPr>
          <w:color w:val="000000" w:themeColor="text1"/>
          <w:lang w:val="en-US"/>
        </w:rPr>
        <w:t xml:space="preserve"> GPKG files are not </w:t>
      </w:r>
      <w:r w:rsidR="00F80F04">
        <w:rPr>
          <w:color w:val="000000" w:themeColor="text1"/>
          <w:lang w:val="en-US"/>
        </w:rPr>
        <w:t>simple</w:t>
      </w:r>
      <w:r w:rsidR="009518C2">
        <w:rPr>
          <w:color w:val="000000" w:themeColor="text1"/>
          <w:lang w:val="en-US"/>
        </w:rPr>
        <w:t xml:space="preserve"> format</w:t>
      </w:r>
      <w:r w:rsidR="00F80F04">
        <w:rPr>
          <w:color w:val="000000" w:themeColor="text1"/>
          <w:lang w:val="en-US"/>
        </w:rPr>
        <w:t xml:space="preserve"> </w:t>
      </w:r>
      <w:r w:rsidR="00FC4C46">
        <w:rPr>
          <w:color w:val="000000" w:themeColor="text1"/>
          <w:lang w:val="en-US"/>
        </w:rPr>
        <w:t>instead</w:t>
      </w:r>
      <w:r w:rsidR="00F80F04">
        <w:rPr>
          <w:color w:val="000000" w:themeColor="text1"/>
          <w:lang w:val="en-US"/>
        </w:rPr>
        <w:t xml:space="preserve"> they are </w:t>
      </w:r>
      <w:r w:rsidR="00FC4C46">
        <w:rPr>
          <w:color w:val="000000" w:themeColor="text1"/>
          <w:lang w:val="en-US"/>
        </w:rPr>
        <w:t>tiny</w:t>
      </w:r>
      <w:r w:rsidR="00F80F04">
        <w:rPr>
          <w:color w:val="000000" w:themeColor="text1"/>
          <w:lang w:val="en-US"/>
        </w:rPr>
        <w:t xml:space="preserve"> DBMS system package within a file</w:t>
      </w:r>
      <w:r w:rsidR="00754BCC">
        <w:rPr>
          <w:color w:val="000000" w:themeColor="text1"/>
          <w:lang w:val="en-US"/>
        </w:rPr>
        <w:t>, and they are efficient at</w:t>
      </w:r>
      <w:r w:rsidR="009653CD">
        <w:rPr>
          <w:color w:val="000000" w:themeColor="text1"/>
          <w:lang w:val="en-US"/>
        </w:rPr>
        <w:t xml:space="preserve"> </w:t>
      </w:r>
      <w:r w:rsidR="00FC4C46">
        <w:rPr>
          <w:color w:val="000000" w:themeColor="text1"/>
          <w:lang w:val="en-US"/>
        </w:rPr>
        <w:t>supplying</w:t>
      </w:r>
      <w:r w:rsidR="009653CD">
        <w:rPr>
          <w:color w:val="000000" w:themeColor="text1"/>
          <w:lang w:val="en-US"/>
        </w:rPr>
        <w:t xml:space="preserve"> and storing </w:t>
      </w:r>
      <w:r w:rsidR="00754BCC">
        <w:rPr>
          <w:color w:val="000000" w:themeColor="text1"/>
          <w:lang w:val="en-US"/>
        </w:rPr>
        <w:t>coordinate system information</w:t>
      </w:r>
      <w:r w:rsidR="00EC6E5B">
        <w:rPr>
          <w:color w:val="000000" w:themeColor="text1"/>
          <w:lang w:val="en-US"/>
        </w:rPr>
        <w:t xml:space="preserve"> (Manifold Software Limited, 2021). </w:t>
      </w:r>
      <w:r w:rsidR="009D792A">
        <w:rPr>
          <w:color w:val="000000" w:themeColor="text1"/>
          <w:lang w:val="en-US"/>
        </w:rPr>
        <w:t>All the datasets ha</w:t>
      </w:r>
      <w:r w:rsidR="00EC6E5B">
        <w:rPr>
          <w:color w:val="000000" w:themeColor="text1"/>
          <w:lang w:val="en-US"/>
        </w:rPr>
        <w:t>d</w:t>
      </w:r>
      <w:r w:rsidR="009D792A">
        <w:rPr>
          <w:color w:val="000000" w:themeColor="text1"/>
          <w:lang w:val="en-US"/>
        </w:rPr>
        <w:t xml:space="preserve"> the same</w:t>
      </w:r>
      <w:r w:rsidR="00D33471" w:rsidRPr="009D792A">
        <w:rPr>
          <w:color w:val="000000" w:themeColor="text1"/>
          <w:lang w:val="en-US"/>
        </w:rPr>
        <w:t xml:space="preserve"> projection</w:t>
      </w:r>
      <w:r w:rsidR="00EC6E5B">
        <w:rPr>
          <w:color w:val="000000" w:themeColor="text1"/>
          <w:lang w:val="en-US"/>
        </w:rPr>
        <w:t xml:space="preserve"> of</w:t>
      </w:r>
      <w:r w:rsidR="00EC6E5B" w:rsidRPr="00EC6E5B">
        <w:t xml:space="preserve"> </w:t>
      </w:r>
      <w:r w:rsidR="00EC6E5B" w:rsidRPr="00EC6E5B">
        <w:rPr>
          <w:color w:val="000000" w:themeColor="text1"/>
          <w:lang w:val="en-US"/>
        </w:rPr>
        <w:t>NZGD2000 / New Zealand Transverse Mercator 2000</w:t>
      </w:r>
      <w:r w:rsidR="00EC6E5B">
        <w:rPr>
          <w:color w:val="000000" w:themeColor="text1"/>
          <w:lang w:val="en-US"/>
        </w:rPr>
        <w:t xml:space="preserve"> </w:t>
      </w:r>
      <w:r w:rsidR="00D33471" w:rsidRPr="009D792A">
        <w:rPr>
          <w:color w:val="000000" w:themeColor="text1"/>
          <w:lang w:val="en-US"/>
        </w:rPr>
        <w:t xml:space="preserve">which </w:t>
      </w:r>
      <w:r w:rsidR="00EC6E5B">
        <w:rPr>
          <w:color w:val="000000" w:themeColor="text1"/>
          <w:lang w:val="en-US"/>
        </w:rPr>
        <w:t>let</w:t>
      </w:r>
      <w:r w:rsidR="00D33471" w:rsidRPr="009D792A">
        <w:rPr>
          <w:color w:val="000000" w:themeColor="text1"/>
          <w:lang w:val="en-US"/>
        </w:rPr>
        <w:t xml:space="preserve"> </w:t>
      </w:r>
      <w:r w:rsidR="004F359C">
        <w:rPr>
          <w:color w:val="000000" w:themeColor="text1"/>
          <w:lang w:val="en-US"/>
        </w:rPr>
        <w:t>us</w:t>
      </w:r>
      <w:r w:rsidR="00D33471" w:rsidRPr="009D792A">
        <w:rPr>
          <w:color w:val="000000" w:themeColor="text1"/>
          <w:lang w:val="en-US"/>
        </w:rPr>
        <w:t xml:space="preserve"> simplify </w:t>
      </w:r>
      <w:r w:rsidR="00EC6E5B">
        <w:rPr>
          <w:color w:val="000000" w:themeColor="text1"/>
          <w:lang w:val="en-US"/>
        </w:rPr>
        <w:t xml:space="preserve">the </w:t>
      </w:r>
      <w:r w:rsidR="00D33471" w:rsidRPr="009D792A">
        <w:rPr>
          <w:color w:val="000000" w:themeColor="text1"/>
          <w:lang w:val="en-US"/>
        </w:rPr>
        <w:t>data preparation</w:t>
      </w:r>
      <w:r w:rsidR="00224649" w:rsidRPr="009D792A">
        <w:rPr>
          <w:color w:val="000000" w:themeColor="text1"/>
          <w:lang w:val="en-US"/>
        </w:rPr>
        <w:t>, w</w:t>
      </w:r>
      <w:r w:rsidR="009D792A">
        <w:rPr>
          <w:color w:val="000000" w:themeColor="text1"/>
          <w:lang w:val="en-US"/>
        </w:rPr>
        <w:t>here</w:t>
      </w:r>
      <w:r w:rsidR="00EC6E5B">
        <w:rPr>
          <w:color w:val="000000" w:themeColor="text1"/>
          <w:lang w:val="en-US"/>
        </w:rPr>
        <w:t xml:space="preserve"> no</w:t>
      </w:r>
      <w:r w:rsidR="00224649" w:rsidRPr="009D792A">
        <w:rPr>
          <w:color w:val="000000" w:themeColor="text1"/>
          <w:lang w:val="en-US"/>
        </w:rPr>
        <w:t xml:space="preserve"> transform</w:t>
      </w:r>
      <w:r w:rsidR="00EC6E5B">
        <w:rPr>
          <w:color w:val="000000" w:themeColor="text1"/>
          <w:lang w:val="en-US"/>
        </w:rPr>
        <w:t>ation needed for</w:t>
      </w:r>
      <w:r w:rsidR="00224649" w:rsidRPr="009D792A">
        <w:rPr>
          <w:color w:val="000000" w:themeColor="text1"/>
          <w:lang w:val="en-US"/>
        </w:rPr>
        <w:t xml:space="preserve"> the projection between</w:t>
      </w:r>
      <w:r w:rsidR="00EC6E5B">
        <w:rPr>
          <w:color w:val="000000" w:themeColor="text1"/>
          <w:lang w:val="en-US"/>
        </w:rPr>
        <w:t xml:space="preserve"> </w:t>
      </w:r>
      <w:r w:rsidR="00224649" w:rsidRPr="009D792A">
        <w:rPr>
          <w:color w:val="000000" w:themeColor="text1"/>
          <w:lang w:val="en-US"/>
        </w:rPr>
        <w:t>datasets</w:t>
      </w:r>
      <w:r w:rsidR="009D792A">
        <w:rPr>
          <w:color w:val="000000" w:themeColor="text1"/>
          <w:lang w:val="en-US"/>
        </w:rPr>
        <w:t>.</w:t>
      </w:r>
    </w:p>
    <w:tbl>
      <w:tblPr>
        <w:tblStyle w:val="TableGrid"/>
        <w:tblpPr w:leftFromText="180" w:rightFromText="180" w:vertAnchor="page" w:horzAnchor="margin" w:tblpXSpec="center" w:tblpY="1836"/>
        <w:tblW w:w="11492" w:type="dxa"/>
        <w:tblLook w:val="04A0" w:firstRow="1" w:lastRow="0" w:firstColumn="1" w:lastColumn="0" w:noHBand="0" w:noVBand="1"/>
      </w:tblPr>
      <w:tblGrid>
        <w:gridCol w:w="2068"/>
        <w:gridCol w:w="807"/>
        <w:gridCol w:w="4710"/>
        <w:gridCol w:w="2485"/>
        <w:gridCol w:w="1422"/>
      </w:tblGrid>
      <w:tr w:rsidR="00060E7F" w14:paraId="4038B3C3" w14:textId="77777777" w:rsidTr="00060E7F">
        <w:trPr>
          <w:trHeight w:val="281"/>
        </w:trPr>
        <w:tc>
          <w:tcPr>
            <w:tcW w:w="2068" w:type="dxa"/>
          </w:tcPr>
          <w:p w14:paraId="5DA50B63" w14:textId="77777777" w:rsidR="00060E7F" w:rsidRDefault="00060E7F" w:rsidP="00060E7F">
            <w:pPr>
              <w:jc w:val="both"/>
              <w:rPr>
                <w:color w:val="000000" w:themeColor="text1"/>
                <w:lang w:val="en-US"/>
              </w:rPr>
            </w:pPr>
            <w:r>
              <w:rPr>
                <w:color w:val="000000" w:themeColor="text1"/>
                <w:lang w:val="en-US"/>
              </w:rPr>
              <w:lastRenderedPageBreak/>
              <w:t>Dataset Name</w:t>
            </w:r>
          </w:p>
        </w:tc>
        <w:tc>
          <w:tcPr>
            <w:tcW w:w="807" w:type="dxa"/>
          </w:tcPr>
          <w:p w14:paraId="1FB2CF7A" w14:textId="77777777" w:rsidR="00060E7F" w:rsidRDefault="00060E7F" w:rsidP="00060E7F">
            <w:pPr>
              <w:jc w:val="both"/>
              <w:rPr>
                <w:color w:val="000000" w:themeColor="text1"/>
                <w:lang w:val="en-US"/>
              </w:rPr>
            </w:pPr>
            <w:r>
              <w:rPr>
                <w:color w:val="000000" w:themeColor="text1"/>
                <w:lang w:val="en-US"/>
              </w:rPr>
              <w:t>year</w:t>
            </w:r>
          </w:p>
        </w:tc>
        <w:tc>
          <w:tcPr>
            <w:tcW w:w="4710" w:type="dxa"/>
          </w:tcPr>
          <w:p w14:paraId="29CE2E20" w14:textId="77777777" w:rsidR="00060E7F" w:rsidRDefault="00060E7F" w:rsidP="00060E7F">
            <w:pPr>
              <w:jc w:val="both"/>
              <w:rPr>
                <w:color w:val="000000" w:themeColor="text1"/>
                <w:lang w:val="en-US"/>
              </w:rPr>
            </w:pPr>
            <w:r>
              <w:rPr>
                <w:color w:val="000000" w:themeColor="text1"/>
                <w:lang w:val="en-US"/>
              </w:rPr>
              <w:t>source</w:t>
            </w:r>
          </w:p>
        </w:tc>
        <w:tc>
          <w:tcPr>
            <w:tcW w:w="2485" w:type="dxa"/>
          </w:tcPr>
          <w:p w14:paraId="65CC3AF1" w14:textId="77777777" w:rsidR="00060E7F" w:rsidRDefault="00060E7F" w:rsidP="00060E7F">
            <w:pPr>
              <w:jc w:val="both"/>
              <w:rPr>
                <w:color w:val="000000" w:themeColor="text1"/>
                <w:lang w:val="en-US"/>
              </w:rPr>
            </w:pPr>
            <w:r>
              <w:rPr>
                <w:color w:val="000000" w:themeColor="text1"/>
                <w:lang w:val="en-US"/>
              </w:rPr>
              <w:t>Geometry type</w:t>
            </w:r>
          </w:p>
        </w:tc>
        <w:tc>
          <w:tcPr>
            <w:tcW w:w="1422" w:type="dxa"/>
          </w:tcPr>
          <w:p w14:paraId="66FE2E07" w14:textId="77777777" w:rsidR="00060E7F" w:rsidRDefault="00060E7F" w:rsidP="00060E7F">
            <w:pPr>
              <w:jc w:val="both"/>
              <w:rPr>
                <w:color w:val="000000" w:themeColor="text1"/>
                <w:lang w:val="en-US"/>
              </w:rPr>
            </w:pPr>
            <w:r>
              <w:rPr>
                <w:color w:val="000000" w:themeColor="text1"/>
                <w:lang w:val="en-US"/>
              </w:rPr>
              <w:t>projection</w:t>
            </w:r>
          </w:p>
        </w:tc>
      </w:tr>
      <w:tr w:rsidR="00060E7F" w14:paraId="489E1E02" w14:textId="77777777" w:rsidTr="00060E7F">
        <w:trPr>
          <w:trHeight w:val="1824"/>
        </w:trPr>
        <w:tc>
          <w:tcPr>
            <w:tcW w:w="2068" w:type="dxa"/>
          </w:tcPr>
          <w:p w14:paraId="5A5504EC" w14:textId="4FDFCA37" w:rsidR="00060E7F" w:rsidRDefault="00060E7F" w:rsidP="00060E7F">
            <w:pPr>
              <w:jc w:val="both"/>
              <w:rPr>
                <w:color w:val="000000" w:themeColor="text1"/>
                <w:lang w:val="en-US"/>
              </w:rPr>
            </w:pPr>
            <w:r>
              <w:rPr>
                <w:color w:val="000000" w:themeColor="text1"/>
                <w:lang w:val="en-US"/>
              </w:rPr>
              <w:t>Predicted average Macroinvertebrate Community Index (MCI)</w:t>
            </w:r>
            <w:r w:rsidR="00E74497">
              <w:rPr>
                <w:color w:val="000000" w:themeColor="text1"/>
                <w:lang w:val="en-US"/>
              </w:rPr>
              <w:t xml:space="preserve"> score</w:t>
            </w:r>
          </w:p>
        </w:tc>
        <w:tc>
          <w:tcPr>
            <w:tcW w:w="807" w:type="dxa"/>
          </w:tcPr>
          <w:p w14:paraId="0AAABDB6" w14:textId="4FB2A5D7" w:rsidR="00060E7F" w:rsidRDefault="00E74497" w:rsidP="00060E7F">
            <w:pPr>
              <w:jc w:val="both"/>
              <w:rPr>
                <w:color w:val="000000" w:themeColor="text1"/>
                <w:lang w:val="en-US"/>
              </w:rPr>
            </w:pPr>
            <w:r>
              <w:rPr>
                <w:color w:val="000000" w:themeColor="text1"/>
                <w:lang w:val="en-US"/>
              </w:rPr>
              <w:t>2016</w:t>
            </w:r>
          </w:p>
        </w:tc>
        <w:tc>
          <w:tcPr>
            <w:tcW w:w="4710" w:type="dxa"/>
          </w:tcPr>
          <w:p w14:paraId="533C98C7" w14:textId="77777777" w:rsidR="00060E7F" w:rsidRDefault="00060E7F" w:rsidP="00060E7F">
            <w:pPr>
              <w:jc w:val="both"/>
              <w:rPr>
                <w:color w:val="000000" w:themeColor="text1"/>
                <w:lang w:val="en-US"/>
              </w:rPr>
            </w:pPr>
            <w:r w:rsidRPr="00060E7F">
              <w:rPr>
                <w:color w:val="000000" w:themeColor="text1"/>
                <w:lang w:val="en-US"/>
              </w:rPr>
              <w:t>https://data.mfe.govt.nz/layer/52713-predicted-average-macroinvertebrate-community-index-mci-score-20072011/</w:t>
            </w:r>
          </w:p>
        </w:tc>
        <w:tc>
          <w:tcPr>
            <w:tcW w:w="2485" w:type="dxa"/>
          </w:tcPr>
          <w:p w14:paraId="56BDE3D5" w14:textId="77777777" w:rsidR="00060E7F" w:rsidRDefault="00060E7F" w:rsidP="00060E7F">
            <w:pPr>
              <w:jc w:val="both"/>
              <w:rPr>
                <w:color w:val="000000" w:themeColor="text1"/>
                <w:lang w:val="en-US"/>
              </w:rPr>
            </w:pPr>
            <w:r w:rsidRPr="00060E7F">
              <w:rPr>
                <w:color w:val="000000" w:themeColor="text1"/>
                <w:lang w:val="en-US"/>
              </w:rPr>
              <w:t>POINT</w:t>
            </w:r>
          </w:p>
        </w:tc>
        <w:tc>
          <w:tcPr>
            <w:tcW w:w="1422" w:type="dxa"/>
          </w:tcPr>
          <w:p w14:paraId="4DDA3E8A" w14:textId="77777777" w:rsidR="00060E7F" w:rsidRDefault="00060E7F" w:rsidP="00060E7F">
            <w:pPr>
              <w:jc w:val="both"/>
              <w:rPr>
                <w:color w:val="000000" w:themeColor="text1"/>
                <w:lang w:val="en-US"/>
              </w:rPr>
            </w:pPr>
            <w:r w:rsidRPr="00060E7F">
              <w:rPr>
                <w:color w:val="000000" w:themeColor="text1"/>
                <w:lang w:val="en-US"/>
              </w:rPr>
              <w:t>NZGD2000 / New Zealand Transverse Mercator 2000</w:t>
            </w:r>
          </w:p>
        </w:tc>
      </w:tr>
      <w:tr w:rsidR="00060E7F" w14:paraId="47111F1E" w14:textId="77777777" w:rsidTr="00060E7F">
        <w:trPr>
          <w:trHeight w:val="1802"/>
        </w:trPr>
        <w:tc>
          <w:tcPr>
            <w:tcW w:w="2068" w:type="dxa"/>
          </w:tcPr>
          <w:p w14:paraId="74F1FF73" w14:textId="77777777" w:rsidR="00060E7F" w:rsidRDefault="00060E7F" w:rsidP="00060E7F">
            <w:pPr>
              <w:jc w:val="both"/>
              <w:rPr>
                <w:color w:val="000000" w:themeColor="text1"/>
                <w:lang w:val="en-US"/>
              </w:rPr>
            </w:pPr>
            <w:r>
              <w:rPr>
                <w:color w:val="000000" w:themeColor="text1"/>
                <w:lang w:val="en-US"/>
              </w:rPr>
              <w:t>NZ Major Rivers</w:t>
            </w:r>
          </w:p>
        </w:tc>
        <w:tc>
          <w:tcPr>
            <w:tcW w:w="807" w:type="dxa"/>
          </w:tcPr>
          <w:p w14:paraId="02E1DEFC" w14:textId="77777777" w:rsidR="00060E7F" w:rsidRDefault="00060E7F" w:rsidP="00060E7F">
            <w:pPr>
              <w:jc w:val="both"/>
              <w:rPr>
                <w:color w:val="000000" w:themeColor="text1"/>
                <w:lang w:val="en-US"/>
              </w:rPr>
            </w:pPr>
            <w:r>
              <w:rPr>
                <w:color w:val="000000" w:themeColor="text1"/>
                <w:lang w:val="en-US"/>
              </w:rPr>
              <w:t>2008</w:t>
            </w:r>
          </w:p>
        </w:tc>
        <w:tc>
          <w:tcPr>
            <w:tcW w:w="4710" w:type="dxa"/>
          </w:tcPr>
          <w:p w14:paraId="2E3414EF" w14:textId="77777777" w:rsidR="00060E7F" w:rsidRDefault="00060E7F" w:rsidP="00060E7F">
            <w:pPr>
              <w:jc w:val="both"/>
              <w:rPr>
                <w:color w:val="000000" w:themeColor="text1"/>
                <w:lang w:val="en-US"/>
              </w:rPr>
            </w:pPr>
            <w:r w:rsidRPr="00060E7F">
              <w:rPr>
                <w:color w:val="000000" w:themeColor="text1"/>
                <w:lang w:val="en-US"/>
              </w:rPr>
              <w:t>https://koordinates.com/layer/306-nz-major-rivers/</w:t>
            </w:r>
          </w:p>
        </w:tc>
        <w:tc>
          <w:tcPr>
            <w:tcW w:w="2485" w:type="dxa"/>
          </w:tcPr>
          <w:p w14:paraId="1F13CED3" w14:textId="77777777" w:rsidR="00060E7F" w:rsidRDefault="00060E7F" w:rsidP="00060E7F">
            <w:pPr>
              <w:jc w:val="both"/>
              <w:rPr>
                <w:color w:val="000000" w:themeColor="text1"/>
                <w:lang w:val="en-US"/>
              </w:rPr>
            </w:pPr>
            <w:r w:rsidRPr="00060E7F">
              <w:rPr>
                <w:color w:val="000000" w:themeColor="text1"/>
                <w:lang w:val="en-US"/>
              </w:rPr>
              <w:t>MULTILINESTRING</w:t>
            </w:r>
          </w:p>
        </w:tc>
        <w:tc>
          <w:tcPr>
            <w:tcW w:w="1422" w:type="dxa"/>
          </w:tcPr>
          <w:p w14:paraId="55F22F65" w14:textId="77777777" w:rsidR="00060E7F" w:rsidRDefault="00060E7F" w:rsidP="00060E7F">
            <w:pPr>
              <w:jc w:val="both"/>
              <w:rPr>
                <w:color w:val="000000" w:themeColor="text1"/>
                <w:lang w:val="en-US"/>
              </w:rPr>
            </w:pPr>
            <w:r w:rsidRPr="00060E7F">
              <w:rPr>
                <w:color w:val="000000" w:themeColor="text1"/>
                <w:lang w:val="en-US"/>
              </w:rPr>
              <w:t>NZGD2000 / New Zealand Transverse Mercator 2000</w:t>
            </w:r>
          </w:p>
        </w:tc>
      </w:tr>
      <w:tr w:rsidR="00060E7F" w14:paraId="6EEC7CDB" w14:textId="77777777" w:rsidTr="00060E7F">
        <w:trPr>
          <w:trHeight w:val="1802"/>
        </w:trPr>
        <w:tc>
          <w:tcPr>
            <w:tcW w:w="2068" w:type="dxa"/>
          </w:tcPr>
          <w:p w14:paraId="76E38B2D" w14:textId="1FC0062C" w:rsidR="00060E7F" w:rsidRDefault="00060E7F" w:rsidP="00060E7F">
            <w:pPr>
              <w:jc w:val="both"/>
              <w:rPr>
                <w:color w:val="000000" w:themeColor="text1"/>
                <w:lang w:val="en-US"/>
              </w:rPr>
            </w:pPr>
            <w:r>
              <w:rPr>
                <w:color w:val="000000" w:themeColor="text1"/>
                <w:lang w:val="en-US"/>
              </w:rPr>
              <w:t>Territorial Authority (generalized)</w:t>
            </w:r>
          </w:p>
        </w:tc>
        <w:tc>
          <w:tcPr>
            <w:tcW w:w="807" w:type="dxa"/>
          </w:tcPr>
          <w:p w14:paraId="125F2FEB" w14:textId="77777777" w:rsidR="00060E7F" w:rsidRDefault="00060E7F" w:rsidP="00060E7F">
            <w:pPr>
              <w:jc w:val="both"/>
              <w:rPr>
                <w:color w:val="000000" w:themeColor="text1"/>
                <w:lang w:val="en-US"/>
              </w:rPr>
            </w:pPr>
            <w:r>
              <w:rPr>
                <w:color w:val="000000" w:themeColor="text1"/>
                <w:lang w:val="en-US"/>
              </w:rPr>
              <w:t>2021</w:t>
            </w:r>
          </w:p>
        </w:tc>
        <w:tc>
          <w:tcPr>
            <w:tcW w:w="4710" w:type="dxa"/>
          </w:tcPr>
          <w:p w14:paraId="68BDF381" w14:textId="77777777" w:rsidR="00060E7F" w:rsidRDefault="00060E7F" w:rsidP="00060E7F">
            <w:pPr>
              <w:jc w:val="both"/>
              <w:rPr>
                <w:color w:val="000000" w:themeColor="text1"/>
                <w:lang w:val="en-US"/>
              </w:rPr>
            </w:pPr>
            <w:r w:rsidRPr="000A0605">
              <w:rPr>
                <w:color w:val="000000" w:themeColor="text1"/>
                <w:lang w:val="en-US"/>
              </w:rPr>
              <w:t>https://datafinder.stats.govt.nz/layer/105153-territorial-authority-2021-generalised/data/</w:t>
            </w:r>
          </w:p>
        </w:tc>
        <w:tc>
          <w:tcPr>
            <w:tcW w:w="2485" w:type="dxa"/>
          </w:tcPr>
          <w:p w14:paraId="5A339159" w14:textId="77777777" w:rsidR="00060E7F" w:rsidRDefault="00060E7F" w:rsidP="00060E7F">
            <w:pPr>
              <w:jc w:val="both"/>
              <w:rPr>
                <w:color w:val="000000" w:themeColor="text1"/>
                <w:lang w:val="en-US"/>
              </w:rPr>
            </w:pPr>
            <w:r>
              <w:rPr>
                <w:color w:val="000000" w:themeColor="text1"/>
                <w:lang w:val="en-US"/>
              </w:rPr>
              <w:t>MULTIPOLYGON</w:t>
            </w:r>
          </w:p>
        </w:tc>
        <w:tc>
          <w:tcPr>
            <w:tcW w:w="1422" w:type="dxa"/>
          </w:tcPr>
          <w:p w14:paraId="075BFC58" w14:textId="77777777" w:rsidR="00060E7F" w:rsidRDefault="00060E7F" w:rsidP="00060E7F">
            <w:pPr>
              <w:jc w:val="both"/>
              <w:rPr>
                <w:color w:val="000000" w:themeColor="text1"/>
                <w:lang w:val="en-US"/>
              </w:rPr>
            </w:pPr>
            <w:r w:rsidRPr="000A0605">
              <w:rPr>
                <w:color w:val="000000" w:themeColor="text1"/>
                <w:lang w:val="en-US"/>
              </w:rPr>
              <w:t>NZGD2000 / New Zealand Transverse Mercator 2000</w:t>
            </w:r>
          </w:p>
        </w:tc>
      </w:tr>
    </w:tbl>
    <w:p w14:paraId="2077D713" w14:textId="77777777" w:rsidR="000A0605" w:rsidRDefault="000A0605" w:rsidP="00DA20B3">
      <w:pPr>
        <w:rPr>
          <w:color w:val="000000" w:themeColor="text1"/>
          <w:lang w:val="en-US"/>
        </w:rPr>
      </w:pPr>
      <w:r>
        <w:rPr>
          <w:color w:val="000000" w:themeColor="text1"/>
          <w:lang w:val="en-US"/>
        </w:rPr>
        <w:t>Table 1. Information about the datasets employed in this project</w:t>
      </w:r>
    </w:p>
    <w:p w14:paraId="403ADB14" w14:textId="2CF36170" w:rsidR="000A0605" w:rsidRDefault="000A0605" w:rsidP="00B3052E">
      <w:pPr>
        <w:rPr>
          <w:color w:val="000000" w:themeColor="text1"/>
          <w:lang w:val="en-US"/>
        </w:rPr>
      </w:pPr>
    </w:p>
    <w:p w14:paraId="0FEDD0FE" w14:textId="77777777" w:rsidR="000A0605" w:rsidRDefault="000A0605" w:rsidP="00B3052E">
      <w:pPr>
        <w:rPr>
          <w:color w:val="000000" w:themeColor="text1"/>
          <w:lang w:val="en-US"/>
        </w:rPr>
      </w:pPr>
    </w:p>
    <w:p w14:paraId="757BAA88" w14:textId="1B712E41" w:rsidR="009D792A" w:rsidRDefault="00DA29B4" w:rsidP="00B3052E">
      <w:pPr>
        <w:rPr>
          <w:color w:val="000000" w:themeColor="text1"/>
          <w:lang w:val="en-US"/>
        </w:rPr>
      </w:pPr>
      <w:r>
        <w:rPr>
          <w:color w:val="000000" w:themeColor="text1"/>
          <w:lang w:val="en-US"/>
        </w:rPr>
        <w:t xml:space="preserve">The process of analysis is divided into eight steps as depicted in (Figure 1). For the most geometric operations, the Simple Feature (SF) package was used. Firstly, the three datasets were loaded into R with the function st_read(). </w:t>
      </w:r>
      <w:r w:rsidR="000A6E6D">
        <w:rPr>
          <w:color w:val="000000" w:themeColor="text1"/>
          <w:lang w:val="en-US"/>
        </w:rPr>
        <w:t>The spatial operation utilized for clipping the raw MCI and river data to the area of interest (South Island) was accessing a function “st_intersection”. This is a geometric operation that will give a result of geometries for the intersection and index of overlapping features from the second layer of origins. Now that the preparation phase has ended.</w:t>
      </w:r>
    </w:p>
    <w:p w14:paraId="083722EB" w14:textId="77777777" w:rsidR="00DA29B4" w:rsidRDefault="00DA29B4" w:rsidP="00B3052E">
      <w:pPr>
        <w:rPr>
          <w:color w:val="000000" w:themeColor="text1"/>
          <w:lang w:val="en-US"/>
        </w:rPr>
      </w:pPr>
    </w:p>
    <w:p w14:paraId="2FABF6B7" w14:textId="66FC226D" w:rsidR="00F80F04" w:rsidRDefault="000A6E6D" w:rsidP="00B3052E">
      <w:pPr>
        <w:rPr>
          <w:color w:val="000000" w:themeColor="text1"/>
          <w:lang w:val="en-US"/>
        </w:rPr>
      </w:pPr>
      <w:r>
        <w:rPr>
          <w:color w:val="000000" w:themeColor="text1"/>
          <w:lang w:val="en-US"/>
        </w:rPr>
        <w:t xml:space="preserve">Before getting into the actual analysis, exploratory data analysis was conducted to gain a better understanding of the data. A statistic graph was plotted using relevant functions in the “ggplot2” package, showing the change of the “SiteMEdian” values against the climate condition type. </w:t>
      </w:r>
      <w:r w:rsidR="00BF2A5C">
        <w:rPr>
          <w:color w:val="000000" w:themeColor="text1"/>
          <w:lang w:val="en-US"/>
        </w:rPr>
        <w:t xml:space="preserve">The data was analyzed by </w:t>
      </w:r>
      <w:r w:rsidR="00020937">
        <w:rPr>
          <w:color w:val="000000" w:themeColor="text1"/>
          <w:lang w:val="en-US"/>
        </w:rPr>
        <w:t>presenting</w:t>
      </w:r>
      <w:r w:rsidR="00BF2A5C">
        <w:rPr>
          <w:color w:val="000000" w:themeColor="text1"/>
          <w:lang w:val="en-US"/>
        </w:rPr>
        <w:t xml:space="preserve"> it in the form of</w:t>
      </w:r>
      <w:r w:rsidR="004F359C">
        <w:rPr>
          <w:color w:val="000000" w:themeColor="text1"/>
          <w:lang w:val="en-US"/>
        </w:rPr>
        <w:t xml:space="preserve"> a</w:t>
      </w:r>
      <w:r w:rsidR="00BF2A5C">
        <w:rPr>
          <w:color w:val="000000" w:themeColor="text1"/>
          <w:lang w:val="en-US"/>
        </w:rPr>
        <w:t xml:space="preserve"> boxplot from the ggplot</w:t>
      </w:r>
      <w:r w:rsidR="00020937">
        <w:rPr>
          <w:color w:val="000000" w:themeColor="text1"/>
          <w:lang w:val="en-US"/>
        </w:rPr>
        <w:t xml:space="preserve"> and defining it as “geom_boxplot”. Then </w:t>
      </w:r>
      <w:r w:rsidR="00B17618">
        <w:rPr>
          <w:color w:val="000000" w:themeColor="text1"/>
          <w:lang w:val="en-US"/>
        </w:rPr>
        <w:t>using</w:t>
      </w:r>
      <w:r w:rsidR="00020937">
        <w:rPr>
          <w:color w:val="000000" w:themeColor="text1"/>
          <w:lang w:val="en-US"/>
        </w:rPr>
        <w:t xml:space="preserve"> </w:t>
      </w:r>
      <w:r w:rsidR="004F359C">
        <w:rPr>
          <w:color w:val="000000" w:themeColor="text1"/>
          <w:lang w:val="en-US"/>
        </w:rPr>
        <w:t xml:space="preserve">the </w:t>
      </w:r>
      <w:r w:rsidR="00020937">
        <w:rPr>
          <w:color w:val="000000" w:themeColor="text1"/>
          <w:lang w:val="en-US"/>
        </w:rPr>
        <w:t xml:space="preserve">smoothing method “geom_smooth” to see patterns in the presence of overplotting. Including the labels of the overall graph by </w:t>
      </w:r>
      <w:r w:rsidR="00B17618">
        <w:rPr>
          <w:color w:val="000000" w:themeColor="text1"/>
          <w:lang w:val="en-US"/>
        </w:rPr>
        <w:t>utilizing</w:t>
      </w:r>
      <w:r w:rsidR="00020937">
        <w:rPr>
          <w:color w:val="000000" w:themeColor="text1"/>
          <w:lang w:val="en-US"/>
        </w:rPr>
        <w:t xml:space="preserve"> the function “la</w:t>
      </w:r>
      <w:r w:rsidR="00B17618">
        <w:rPr>
          <w:color w:val="000000" w:themeColor="text1"/>
          <w:lang w:val="en-US"/>
        </w:rPr>
        <w:t>bs</w:t>
      </w:r>
      <w:r w:rsidR="00020937">
        <w:rPr>
          <w:color w:val="000000" w:themeColor="text1"/>
          <w:lang w:val="en-US"/>
        </w:rPr>
        <w:t>” to state the information labels of the overall graph.</w:t>
      </w:r>
      <w:r w:rsidR="00E9634F">
        <w:rPr>
          <w:color w:val="000000" w:themeColor="text1"/>
          <w:lang w:val="en-US"/>
        </w:rPr>
        <w:t xml:space="preserve"> For a better understanding of the geographic distribution of the sites, an interactive map was created based in the “tmap” package, which also allows to showcase where those macroinvertebrates under a certain climate condition.</w:t>
      </w:r>
    </w:p>
    <w:p w14:paraId="0EDF16CA" w14:textId="77777777" w:rsidR="00E9634F" w:rsidRDefault="00E9634F" w:rsidP="00B3052E">
      <w:pPr>
        <w:rPr>
          <w:color w:val="000000" w:themeColor="text1"/>
          <w:lang w:val="en-US"/>
        </w:rPr>
      </w:pPr>
    </w:p>
    <w:p w14:paraId="1CE6532B" w14:textId="5FAF7A49" w:rsidR="00AC5A54" w:rsidRDefault="00E9634F" w:rsidP="00B3052E">
      <w:pPr>
        <w:rPr>
          <w:color w:val="000000" w:themeColor="text1"/>
          <w:lang w:val="en-US"/>
        </w:rPr>
      </w:pPr>
      <w:r>
        <w:rPr>
          <w:color w:val="000000" w:themeColor="text1"/>
          <w:lang w:val="en-US"/>
        </w:rPr>
        <w:t>The main part of this analysis evaluates the overall health of the major</w:t>
      </w:r>
      <w:r w:rsidR="00AC5A54">
        <w:rPr>
          <w:color w:val="000000" w:themeColor="text1"/>
          <w:lang w:val="en-US"/>
        </w:rPr>
        <w:t xml:space="preserve"> rivers</w:t>
      </w:r>
      <w:r>
        <w:rPr>
          <w:color w:val="000000" w:themeColor="text1"/>
          <w:lang w:val="en-US"/>
        </w:rPr>
        <w:t xml:space="preserve"> in the South Island TAs, as well as the overall health of all the rivers within each TA. The health of a river is evidenced by the statistic characteristics (mean, minimum, maximum, and standard deviation) of the “SiteMedian” values in MCI within 1 km of the river’s centerline. A 1000-meter buffer was set around each major river on the South Island using “st_buffer”</w:t>
      </w:r>
      <w:r w:rsidR="00AC5A54">
        <w:rPr>
          <w:color w:val="000000" w:themeColor="text1"/>
          <w:lang w:val="en-US"/>
        </w:rPr>
        <w:t xml:space="preserve"> function. Following that, the buffering results are left join with the MCI data using “st_join”. The joint results were summarized as mean, min, max, and standard deviation of the SiteMedian of</w:t>
      </w:r>
      <w:r w:rsidR="0040513B">
        <w:rPr>
          <w:color w:val="000000" w:themeColor="text1"/>
          <w:lang w:val="en-US"/>
        </w:rPr>
        <w:t xml:space="preserve"> </w:t>
      </w:r>
      <w:r w:rsidR="00AC5A54">
        <w:rPr>
          <w:color w:val="000000" w:themeColor="text1"/>
          <w:lang w:val="en-US"/>
        </w:rPr>
        <w:lastRenderedPageBreak/>
        <w:t xml:space="preserve">MCI in major rivers located in South Island. </w:t>
      </w:r>
      <w:r w:rsidR="008C17FE">
        <w:rPr>
          <w:color w:val="000000" w:themeColor="text1"/>
          <w:lang w:val="en-US"/>
        </w:rPr>
        <w:t>The ‘st_set_geometry’ forces the geometry to be dropped and reclassing it accordingly by setting the geometries to empty values (NULL).</w:t>
      </w:r>
      <w:r w:rsidR="00AC5A54">
        <w:rPr>
          <w:color w:val="000000" w:themeColor="text1"/>
          <w:lang w:val="en-US"/>
        </w:rPr>
        <w:t xml:space="preserve"> The summary statistics for each river are then attached to the river dataset by their key variables “RIVERS” for future visualization. Based on the spatial relationship among the rivers within each TA, we evaluated the health status of all rivers within each TA by spatially joining TA and river data. The average site mean values of all rivers within each TA were calculated. </w:t>
      </w:r>
    </w:p>
    <w:p w14:paraId="698D7C80" w14:textId="73EE38FA" w:rsidR="00AC5A54" w:rsidRDefault="00AC5A54" w:rsidP="00B3052E">
      <w:pPr>
        <w:rPr>
          <w:color w:val="000000" w:themeColor="text1"/>
          <w:lang w:val="en-US"/>
        </w:rPr>
      </w:pPr>
    </w:p>
    <w:p w14:paraId="150CC00A" w14:textId="3AAA4E02" w:rsidR="00AC5A54" w:rsidRDefault="00AC5A54" w:rsidP="00B3052E">
      <w:pPr>
        <w:rPr>
          <w:color w:val="000000" w:themeColor="text1"/>
          <w:lang w:val="en-US"/>
        </w:rPr>
      </w:pPr>
      <w:r>
        <w:rPr>
          <w:color w:val="000000" w:themeColor="text1"/>
          <w:lang w:val="en-US"/>
        </w:rPr>
        <w:t>The results of exploratory data analysis were shown and discussed in the following result and</w:t>
      </w:r>
      <w:r w:rsidR="0040513B">
        <w:rPr>
          <w:color w:val="000000" w:themeColor="text1"/>
          <w:lang w:val="en-US"/>
        </w:rPr>
        <w:t xml:space="preserve"> discussion section. All the statistic g</w:t>
      </w:r>
      <w:r>
        <w:rPr>
          <w:color w:val="000000" w:themeColor="text1"/>
          <w:lang w:val="en-US"/>
        </w:rPr>
        <w:t>raphs were plotted using functions based on the “ggplot2” package.</w:t>
      </w:r>
    </w:p>
    <w:p w14:paraId="75C8BCE6" w14:textId="79DE2B2F" w:rsidR="00AC5A54" w:rsidRDefault="00AC5A54" w:rsidP="00B3052E">
      <w:pPr>
        <w:rPr>
          <w:color w:val="000000" w:themeColor="text1"/>
          <w:lang w:val="en-US"/>
        </w:rPr>
      </w:pPr>
    </w:p>
    <w:p w14:paraId="52D3B33E" w14:textId="79020E2F" w:rsidR="0074304D" w:rsidRDefault="0074304D" w:rsidP="00B3052E">
      <w:pPr>
        <w:rPr>
          <w:color w:val="000000" w:themeColor="text1"/>
          <w:lang w:val="en-US"/>
        </w:rPr>
      </w:pPr>
    </w:p>
    <w:p w14:paraId="5EE706E6" w14:textId="77777777" w:rsidR="00AC5A54" w:rsidRDefault="00AC5A54" w:rsidP="00B3052E">
      <w:pPr>
        <w:rPr>
          <w:color w:val="000000" w:themeColor="text1"/>
          <w:lang w:val="en-US"/>
        </w:rPr>
      </w:pPr>
    </w:p>
    <w:p w14:paraId="7420E657" w14:textId="77777777" w:rsidR="0074304D" w:rsidRDefault="0074304D" w:rsidP="00B3052E">
      <w:pPr>
        <w:rPr>
          <w:color w:val="000000" w:themeColor="text1"/>
          <w:lang w:val="en-US"/>
        </w:rPr>
      </w:pPr>
    </w:p>
    <w:p w14:paraId="6C418CC8" w14:textId="0E49FD3C" w:rsidR="0035244B" w:rsidRPr="000A0605" w:rsidRDefault="00844D72" w:rsidP="0074304D">
      <w:pPr>
        <w:jc w:val="center"/>
        <w:rPr>
          <w:color w:val="000000" w:themeColor="text1"/>
          <w:sz w:val="22"/>
          <w:szCs w:val="22"/>
          <w:lang w:val="en-US"/>
        </w:rPr>
      </w:pPr>
      <w:r w:rsidRPr="000A0605">
        <w:rPr>
          <w:noProof/>
          <w:color w:val="000000" w:themeColor="text1"/>
          <w:sz w:val="22"/>
          <w:szCs w:val="22"/>
        </w:rPr>
        <w:drawing>
          <wp:inline distT="0" distB="0" distL="0" distR="0" wp14:anchorId="7E3C5F6D" wp14:editId="22AB1829">
            <wp:extent cx="5235880" cy="4944136"/>
            <wp:effectExtent l="0" t="0" r="0" b="0"/>
            <wp:docPr id="6" name="Picture 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ext&#10;&#10;Description automatically generated"/>
                    <pic:cNvPicPr/>
                  </pic:nvPicPr>
                  <pic:blipFill>
                    <a:blip r:embed="rId19"/>
                    <a:stretch>
                      <a:fillRect/>
                    </a:stretch>
                  </pic:blipFill>
                  <pic:spPr>
                    <a:xfrm>
                      <a:off x="0" y="0"/>
                      <a:ext cx="5475011" cy="5169943"/>
                    </a:xfrm>
                    <a:prstGeom prst="rect">
                      <a:avLst/>
                    </a:prstGeom>
                  </pic:spPr>
                </pic:pic>
              </a:graphicData>
            </a:graphic>
          </wp:inline>
        </w:drawing>
      </w:r>
    </w:p>
    <w:p w14:paraId="47849374" w14:textId="41655F0F" w:rsidR="000A0605" w:rsidRPr="000A0605" w:rsidRDefault="000A0605" w:rsidP="0074304D">
      <w:pPr>
        <w:jc w:val="center"/>
        <w:rPr>
          <w:color w:val="000000" w:themeColor="text1"/>
          <w:sz w:val="22"/>
          <w:szCs w:val="22"/>
          <w:lang w:val="en-US"/>
        </w:rPr>
      </w:pPr>
      <w:r w:rsidRPr="000A0605">
        <w:rPr>
          <w:color w:val="000000" w:themeColor="text1"/>
          <w:sz w:val="22"/>
          <w:szCs w:val="22"/>
          <w:lang w:val="en-US"/>
        </w:rPr>
        <w:t>Figure 1. The workflow of the analysis</w:t>
      </w:r>
    </w:p>
    <w:p w14:paraId="77107717" w14:textId="18CAA32E" w:rsidR="00B07F7A" w:rsidRDefault="00B07F7A" w:rsidP="000A0605">
      <w:pPr>
        <w:jc w:val="center"/>
        <w:rPr>
          <w:b/>
          <w:bCs/>
          <w:color w:val="000000" w:themeColor="text1"/>
          <w:lang w:val="en-US"/>
        </w:rPr>
      </w:pPr>
    </w:p>
    <w:p w14:paraId="30E2DDB9" w14:textId="0A60DD06" w:rsidR="000A0605" w:rsidRDefault="000A0605" w:rsidP="000A0605">
      <w:pPr>
        <w:jc w:val="center"/>
        <w:rPr>
          <w:b/>
          <w:bCs/>
          <w:color w:val="000000" w:themeColor="text1"/>
          <w:lang w:val="en-US"/>
        </w:rPr>
      </w:pPr>
    </w:p>
    <w:p w14:paraId="410BE85A" w14:textId="77777777" w:rsidR="000A0605" w:rsidRDefault="000A0605" w:rsidP="000A0605">
      <w:pPr>
        <w:jc w:val="center"/>
        <w:rPr>
          <w:b/>
          <w:bCs/>
          <w:color w:val="000000" w:themeColor="text1"/>
          <w:lang w:val="en-US"/>
        </w:rPr>
      </w:pPr>
    </w:p>
    <w:p w14:paraId="3AD8DD45" w14:textId="0F381873" w:rsidR="00741958" w:rsidRDefault="00741958" w:rsidP="00B3052E">
      <w:pPr>
        <w:rPr>
          <w:color w:val="000000" w:themeColor="text1"/>
          <w:lang w:val="en-US"/>
        </w:rPr>
      </w:pPr>
    </w:p>
    <w:p w14:paraId="760E9E09" w14:textId="29D1AA32" w:rsidR="00674B8E" w:rsidRDefault="00674B8E" w:rsidP="00B3052E">
      <w:pPr>
        <w:rPr>
          <w:color w:val="000000" w:themeColor="text1"/>
          <w:lang w:val="en-US"/>
        </w:rPr>
      </w:pPr>
    </w:p>
    <w:p w14:paraId="6B7AFB6E" w14:textId="680C9ECC" w:rsidR="00674B8E" w:rsidRDefault="00674B8E" w:rsidP="00B3052E">
      <w:pPr>
        <w:rPr>
          <w:color w:val="000000" w:themeColor="text1"/>
          <w:lang w:val="en-US"/>
        </w:rPr>
      </w:pPr>
    </w:p>
    <w:p w14:paraId="4734F16B" w14:textId="77777777" w:rsidR="00674B8E" w:rsidRDefault="00674B8E" w:rsidP="00B3052E">
      <w:pPr>
        <w:rPr>
          <w:color w:val="000000" w:themeColor="text1"/>
          <w:lang w:val="en-US"/>
        </w:rPr>
      </w:pPr>
    </w:p>
    <w:p w14:paraId="137E4256" w14:textId="33D77F53" w:rsidR="009C0D2D" w:rsidRDefault="009C0D2D" w:rsidP="009C0D2D">
      <w:pPr>
        <w:rPr>
          <w:b/>
          <w:bCs/>
          <w:color w:val="000000" w:themeColor="text1"/>
          <w:sz w:val="28"/>
          <w:szCs w:val="28"/>
          <w:lang w:val="en-US"/>
        </w:rPr>
      </w:pPr>
      <w:r>
        <w:rPr>
          <w:b/>
          <w:bCs/>
          <w:color w:val="000000" w:themeColor="text1"/>
          <w:sz w:val="28"/>
          <w:szCs w:val="28"/>
          <w:lang w:val="en-US"/>
        </w:rPr>
        <w:lastRenderedPageBreak/>
        <w:t>Results</w:t>
      </w:r>
      <w:r w:rsidRPr="00B67B11">
        <w:rPr>
          <w:b/>
          <w:bCs/>
          <w:color w:val="000000" w:themeColor="text1"/>
          <w:sz w:val="28"/>
          <w:szCs w:val="28"/>
          <w:lang w:val="en-US"/>
        </w:rPr>
        <w:t xml:space="preserve"> and</w:t>
      </w:r>
      <w:r>
        <w:rPr>
          <w:b/>
          <w:bCs/>
          <w:color w:val="000000" w:themeColor="text1"/>
          <w:sz w:val="28"/>
          <w:szCs w:val="28"/>
          <w:lang w:val="en-US"/>
        </w:rPr>
        <w:t xml:space="preserve"> Discussion</w:t>
      </w:r>
      <w:r w:rsidRPr="00B67B11">
        <w:rPr>
          <w:b/>
          <w:bCs/>
          <w:color w:val="000000" w:themeColor="text1"/>
          <w:sz w:val="28"/>
          <w:szCs w:val="28"/>
          <w:lang w:val="en-US"/>
        </w:rPr>
        <w:t>:</w:t>
      </w:r>
    </w:p>
    <w:p w14:paraId="4AC0F80D" w14:textId="562FB843" w:rsidR="00197186" w:rsidRDefault="00AF1469" w:rsidP="00B3052E">
      <w:pPr>
        <w:rPr>
          <w:color w:val="000000" w:themeColor="text1"/>
          <w:lang w:val="en-US"/>
        </w:rPr>
      </w:pPr>
      <w:r>
        <w:rPr>
          <w:color w:val="000000" w:themeColor="text1"/>
          <w:lang w:val="en-US"/>
        </w:rPr>
        <w:t xml:space="preserve">The data that </w:t>
      </w:r>
      <w:r w:rsidR="004F359C">
        <w:rPr>
          <w:color w:val="000000" w:themeColor="text1"/>
          <w:lang w:val="en-US"/>
        </w:rPr>
        <w:t>was</w:t>
      </w:r>
      <w:r>
        <w:rPr>
          <w:color w:val="000000" w:themeColor="text1"/>
          <w:lang w:val="en-US"/>
        </w:rPr>
        <w:t xml:space="preserve"> accessed in this investigation showcase</w:t>
      </w:r>
      <w:r w:rsidR="009576EF">
        <w:rPr>
          <w:color w:val="000000" w:themeColor="text1"/>
          <w:lang w:val="en-US"/>
        </w:rPr>
        <w:t>s</w:t>
      </w:r>
      <w:r>
        <w:rPr>
          <w:color w:val="000000" w:themeColor="text1"/>
          <w:lang w:val="en-US"/>
        </w:rPr>
        <w:t xml:space="preserve"> the overall health of major rivers in South Island. </w:t>
      </w:r>
      <w:r w:rsidR="0040513B">
        <w:rPr>
          <w:color w:val="000000" w:themeColor="text1"/>
          <w:lang w:val="en-US"/>
        </w:rPr>
        <w:t>Offering an</w:t>
      </w:r>
      <w:r w:rsidR="00624396">
        <w:rPr>
          <w:color w:val="000000" w:themeColor="text1"/>
          <w:lang w:val="en-US"/>
        </w:rPr>
        <w:t xml:space="preserve"> understanding of the</w:t>
      </w:r>
      <w:r w:rsidR="0040513B">
        <w:rPr>
          <w:color w:val="000000" w:themeColor="text1"/>
          <w:lang w:val="en-US"/>
        </w:rPr>
        <w:t xml:space="preserve"> overall </w:t>
      </w:r>
      <w:r w:rsidR="000A52EB">
        <w:rPr>
          <w:color w:val="000000" w:themeColor="text1"/>
          <w:lang w:val="en-US"/>
        </w:rPr>
        <w:t>health of major rivers in TA, shown in two Exploratory Data Analysis (EDA) and an interactive map displaying SiteMedian of MCI under</w:t>
      </w:r>
      <w:r w:rsidR="00624396">
        <w:rPr>
          <w:color w:val="000000" w:themeColor="text1"/>
          <w:lang w:val="en-US"/>
        </w:rPr>
        <w:t xml:space="preserve"> different state of climate. Giving an </w:t>
      </w:r>
      <w:r w:rsidR="0040513B">
        <w:rPr>
          <w:color w:val="000000" w:themeColor="text1"/>
          <w:lang w:val="en-US"/>
        </w:rPr>
        <w:t>insight of the</w:t>
      </w:r>
      <w:r w:rsidR="000A52EB">
        <w:rPr>
          <w:color w:val="000000" w:themeColor="text1"/>
          <w:lang w:val="en-US"/>
        </w:rPr>
        <w:t xml:space="preserve"> correlation between South Island TA and</w:t>
      </w:r>
      <w:r w:rsidR="00624396">
        <w:rPr>
          <w:color w:val="000000" w:themeColor="text1"/>
          <w:lang w:val="en-US"/>
        </w:rPr>
        <w:t xml:space="preserve"> its individual</w:t>
      </w:r>
      <w:r w:rsidR="000A52EB">
        <w:rPr>
          <w:color w:val="000000" w:themeColor="text1"/>
          <w:lang w:val="en-US"/>
        </w:rPr>
        <w:t xml:space="preserve"> mean of SiteMedian of major rivers.</w:t>
      </w:r>
      <w:r w:rsidR="00624396">
        <w:rPr>
          <w:color w:val="000000" w:themeColor="text1"/>
          <w:lang w:val="en-US"/>
        </w:rPr>
        <w:t xml:space="preserve"> </w:t>
      </w:r>
      <w:r w:rsidR="00DF6652">
        <w:rPr>
          <w:color w:val="000000" w:themeColor="text1"/>
          <w:lang w:val="en-US"/>
        </w:rPr>
        <w:t xml:space="preserve"> </w:t>
      </w:r>
      <w:r w:rsidR="00624396">
        <w:rPr>
          <w:color w:val="000000" w:themeColor="text1"/>
          <w:lang w:val="en-US"/>
        </w:rPr>
        <w:t xml:space="preserve">The climate status in rivers within each TA are labelled as Warm-Dry (WD), Cool-Extremely-Wet (CX), Cool-Wet (CW), and Cool-Dry (CD) </w:t>
      </w:r>
      <w:r w:rsidR="0020111A">
        <w:rPr>
          <w:color w:val="000000" w:themeColor="text1"/>
          <w:lang w:val="en-US"/>
        </w:rPr>
        <w:t xml:space="preserve">(Ministry for the Environment, 2010). (Fig. </w:t>
      </w:r>
      <w:r w:rsidR="002B7937">
        <w:rPr>
          <w:color w:val="000000" w:themeColor="text1"/>
          <w:lang w:val="en-US"/>
        </w:rPr>
        <w:t>2</w:t>
      </w:r>
      <w:r w:rsidR="0020111A">
        <w:rPr>
          <w:color w:val="000000" w:themeColor="text1"/>
          <w:lang w:val="en-US"/>
        </w:rPr>
        <w:t>), sho</w:t>
      </w:r>
      <w:r w:rsidR="00DF6652">
        <w:rPr>
          <w:color w:val="000000" w:themeColor="text1"/>
          <w:lang w:val="en-US"/>
        </w:rPr>
        <w:t>w</w:t>
      </w:r>
      <w:r w:rsidR="00A54CBF">
        <w:rPr>
          <w:color w:val="000000" w:themeColor="text1"/>
          <w:lang w:val="en-US"/>
        </w:rPr>
        <w:t xml:space="preserve">ed </w:t>
      </w:r>
      <w:r w:rsidR="0020111A">
        <w:rPr>
          <w:color w:val="000000" w:themeColor="text1"/>
          <w:lang w:val="en-US"/>
        </w:rPr>
        <w:t>that attaining a CX temperature in each TA rivers increases the SiteMedian of MCI allowing the streams to gain more nutrients from the macroinvertebrate.</w:t>
      </w:r>
      <w:r w:rsidR="00DF6652">
        <w:rPr>
          <w:color w:val="000000" w:themeColor="text1"/>
          <w:lang w:val="en-US"/>
        </w:rPr>
        <w:t xml:space="preserve"> </w:t>
      </w:r>
      <w:r w:rsidR="002B7937">
        <w:rPr>
          <w:color w:val="000000" w:themeColor="text1"/>
          <w:lang w:val="en-US"/>
        </w:rPr>
        <w:t xml:space="preserve">A significant distribution of associations of MCI and different climates shown in (Figure 3) informs that those TAs that were under the CX climate </w:t>
      </w:r>
      <w:r w:rsidR="00DF6652">
        <w:rPr>
          <w:color w:val="000000" w:themeColor="text1"/>
          <w:lang w:val="en-US"/>
        </w:rPr>
        <w:t xml:space="preserve">tends to contain more MCI. Grey District and Westland District manifested a CX in each river sites suggesting a cleaner and healthier streams. </w:t>
      </w:r>
      <w:r w:rsidR="00D0663B">
        <w:rPr>
          <w:color w:val="000000" w:themeColor="text1"/>
          <w:lang w:val="en-US"/>
        </w:rPr>
        <w:t>The</w:t>
      </w:r>
      <w:r w:rsidR="00B770D3">
        <w:rPr>
          <w:color w:val="000000" w:themeColor="text1"/>
          <w:lang w:val="en-US"/>
        </w:rPr>
        <w:t xml:space="preserve"> </w:t>
      </w:r>
      <w:r w:rsidR="00D0663B">
        <w:rPr>
          <w:color w:val="000000" w:themeColor="text1"/>
          <w:lang w:val="en-US"/>
        </w:rPr>
        <w:t xml:space="preserve">abundance of macroinvertebrates </w:t>
      </w:r>
      <w:r w:rsidR="00B770D3">
        <w:rPr>
          <w:color w:val="000000" w:themeColor="text1"/>
          <w:lang w:val="en-US"/>
        </w:rPr>
        <w:t>is</w:t>
      </w:r>
      <w:r w:rsidR="007475F3">
        <w:rPr>
          <w:color w:val="000000" w:themeColor="text1"/>
          <w:lang w:val="en-US"/>
        </w:rPr>
        <w:t xml:space="preserve"> more evident in conditions where greater flows of dilution in the rivers. Moreover, as stated by the (Ministry for the Environment, 2010) observing high rainfalls</w:t>
      </w:r>
      <w:r w:rsidR="008C31A0">
        <w:rPr>
          <w:color w:val="000000" w:themeColor="text1"/>
          <w:lang w:val="en-US"/>
        </w:rPr>
        <w:t xml:space="preserve"> gravitate to improve the water quality in the rivers.</w:t>
      </w:r>
      <w:r w:rsidR="00A54CBF">
        <w:rPr>
          <w:color w:val="000000" w:themeColor="text1"/>
          <w:lang w:val="en-US"/>
        </w:rPr>
        <w:t xml:space="preserve"> That means having greater rainfalls </w:t>
      </w:r>
      <w:r w:rsidR="00A56842">
        <w:rPr>
          <w:color w:val="000000" w:themeColor="text1"/>
          <w:lang w:val="en-US"/>
        </w:rPr>
        <w:t>increase</w:t>
      </w:r>
      <w:r w:rsidR="00A54CBF">
        <w:rPr>
          <w:color w:val="000000" w:themeColor="text1"/>
          <w:lang w:val="en-US"/>
        </w:rPr>
        <w:t>s</w:t>
      </w:r>
      <w:r w:rsidR="00A56842">
        <w:rPr>
          <w:color w:val="000000" w:themeColor="text1"/>
          <w:lang w:val="en-US"/>
        </w:rPr>
        <w:t xml:space="preserve"> </w:t>
      </w:r>
      <w:r w:rsidR="00A54CBF">
        <w:rPr>
          <w:color w:val="000000" w:themeColor="text1"/>
          <w:lang w:val="en-US"/>
        </w:rPr>
        <w:t xml:space="preserve">the </w:t>
      </w:r>
      <w:r w:rsidR="00A56842">
        <w:rPr>
          <w:color w:val="000000" w:themeColor="text1"/>
          <w:lang w:val="en-US"/>
        </w:rPr>
        <w:t>flows in river</w:t>
      </w:r>
      <w:r w:rsidR="00A54CBF">
        <w:rPr>
          <w:color w:val="000000" w:themeColor="text1"/>
          <w:lang w:val="en-US"/>
        </w:rPr>
        <w:t>s,</w:t>
      </w:r>
      <w:r w:rsidR="00A56842">
        <w:rPr>
          <w:color w:val="000000" w:themeColor="text1"/>
          <w:lang w:val="en-US"/>
        </w:rPr>
        <w:t xml:space="preserve"> thus</w:t>
      </w:r>
      <w:r w:rsidR="00197186">
        <w:rPr>
          <w:color w:val="000000" w:themeColor="text1"/>
          <w:lang w:val="en-US"/>
        </w:rPr>
        <w:t xml:space="preserve"> having</w:t>
      </w:r>
      <w:r w:rsidR="004F359C">
        <w:rPr>
          <w:color w:val="000000" w:themeColor="text1"/>
          <w:lang w:val="en-US"/>
        </w:rPr>
        <w:t xml:space="preserve"> </w:t>
      </w:r>
      <w:r w:rsidR="00197186">
        <w:rPr>
          <w:color w:val="000000" w:themeColor="text1"/>
          <w:lang w:val="en-US"/>
        </w:rPr>
        <w:t>higher chance</w:t>
      </w:r>
      <w:r w:rsidR="00DF6652">
        <w:rPr>
          <w:color w:val="000000" w:themeColor="text1"/>
          <w:lang w:val="en-US"/>
        </w:rPr>
        <w:t>s</w:t>
      </w:r>
      <w:r w:rsidR="00197186">
        <w:rPr>
          <w:color w:val="000000" w:themeColor="text1"/>
          <w:lang w:val="en-US"/>
        </w:rPr>
        <w:t xml:space="preserve"> of dissolved oxygen </w:t>
      </w:r>
      <w:r w:rsidR="00DF6652">
        <w:rPr>
          <w:color w:val="000000" w:themeColor="text1"/>
          <w:lang w:val="en-US"/>
        </w:rPr>
        <w:t xml:space="preserve">in the water </w:t>
      </w:r>
      <w:r w:rsidR="00197186">
        <w:rPr>
          <w:color w:val="000000" w:themeColor="text1"/>
          <w:lang w:val="en-US"/>
        </w:rPr>
        <w:t xml:space="preserve">which </w:t>
      </w:r>
      <w:r w:rsidR="00A54CBF">
        <w:rPr>
          <w:color w:val="000000" w:themeColor="text1"/>
          <w:lang w:val="en-US"/>
        </w:rPr>
        <w:t>are</w:t>
      </w:r>
      <w:r w:rsidR="00197186">
        <w:rPr>
          <w:color w:val="000000" w:themeColor="text1"/>
          <w:lang w:val="en-US"/>
        </w:rPr>
        <w:t xml:space="preserve"> essential to keep macroinvertebrate</w:t>
      </w:r>
      <w:r w:rsidR="004F359C">
        <w:rPr>
          <w:color w:val="000000" w:themeColor="text1"/>
          <w:lang w:val="en-US"/>
        </w:rPr>
        <w:t>s</w:t>
      </w:r>
      <w:r w:rsidR="00197186">
        <w:rPr>
          <w:color w:val="000000" w:themeColor="text1"/>
          <w:lang w:val="en-US"/>
        </w:rPr>
        <w:t xml:space="preserve"> alive. </w:t>
      </w:r>
    </w:p>
    <w:p w14:paraId="378375AA" w14:textId="77777777" w:rsidR="0074304D" w:rsidRDefault="0074304D" w:rsidP="00B3052E">
      <w:pPr>
        <w:rPr>
          <w:color w:val="000000" w:themeColor="text1"/>
          <w:lang w:val="en-US"/>
        </w:rPr>
      </w:pPr>
    </w:p>
    <w:p w14:paraId="1511193E" w14:textId="77777777" w:rsidR="0074304D" w:rsidRDefault="0074304D" w:rsidP="00B3052E">
      <w:pPr>
        <w:rPr>
          <w:color w:val="000000" w:themeColor="text1"/>
          <w:lang w:val="en-US"/>
        </w:rPr>
      </w:pPr>
    </w:p>
    <w:p w14:paraId="3BD7EAB1" w14:textId="15A392B0" w:rsidR="001B3D09" w:rsidRDefault="00600D22" w:rsidP="00B3052E">
      <w:pPr>
        <w:rPr>
          <w:color w:val="000000" w:themeColor="text1"/>
          <w:lang w:val="en-US"/>
        </w:rPr>
      </w:pPr>
      <w:r>
        <w:rPr>
          <w:color w:val="000000" w:themeColor="text1"/>
          <w:lang w:val="en-US"/>
        </w:rPr>
        <w:t xml:space="preserve">However, few limitations were </w:t>
      </w:r>
      <w:r w:rsidR="007E27C2">
        <w:rPr>
          <w:color w:val="000000" w:themeColor="text1"/>
          <w:lang w:val="en-US"/>
        </w:rPr>
        <w:t>considered</w:t>
      </w:r>
      <w:r>
        <w:rPr>
          <w:color w:val="000000" w:themeColor="text1"/>
          <w:lang w:val="en-US"/>
        </w:rPr>
        <w:t xml:space="preserve"> in the data </w:t>
      </w:r>
      <w:r w:rsidR="00B770D3">
        <w:rPr>
          <w:color w:val="000000" w:themeColor="text1"/>
          <w:lang w:val="en-US"/>
        </w:rPr>
        <w:t>as some</w:t>
      </w:r>
      <w:r>
        <w:rPr>
          <w:color w:val="000000" w:themeColor="text1"/>
          <w:lang w:val="en-US"/>
        </w:rPr>
        <w:t xml:space="preserve"> Territorial Authorities (TA) in South Island are </w:t>
      </w:r>
      <w:r w:rsidR="00B770D3">
        <w:rPr>
          <w:color w:val="000000" w:themeColor="text1"/>
          <w:lang w:val="en-US"/>
        </w:rPr>
        <w:t>inaccessible</w:t>
      </w:r>
      <w:r>
        <w:rPr>
          <w:color w:val="000000" w:themeColor="text1"/>
          <w:lang w:val="en-US"/>
        </w:rPr>
        <w:t xml:space="preserve"> </w:t>
      </w:r>
      <w:r w:rsidR="00B770D3">
        <w:rPr>
          <w:color w:val="000000" w:themeColor="text1"/>
          <w:lang w:val="en-US"/>
        </w:rPr>
        <w:t>due to</w:t>
      </w:r>
      <w:r>
        <w:rPr>
          <w:color w:val="000000" w:themeColor="text1"/>
          <w:lang w:val="en-US"/>
        </w:rPr>
        <w:t xml:space="preserve"> insufficient recordings</w:t>
      </w:r>
      <w:r w:rsidR="00435FA9">
        <w:rPr>
          <w:color w:val="000000" w:themeColor="text1"/>
          <w:lang w:val="en-US"/>
        </w:rPr>
        <w:t xml:space="preserve"> by the </w:t>
      </w:r>
      <w:r w:rsidR="00B770D3">
        <w:rPr>
          <w:color w:val="000000" w:themeColor="text1"/>
          <w:lang w:val="en-US"/>
        </w:rPr>
        <w:t>data collectors</w:t>
      </w:r>
      <w:r>
        <w:rPr>
          <w:color w:val="000000" w:themeColor="text1"/>
          <w:lang w:val="en-US"/>
        </w:rPr>
        <w:t>.</w:t>
      </w:r>
      <w:r w:rsidR="00B770D3">
        <w:rPr>
          <w:color w:val="000000" w:themeColor="text1"/>
          <w:lang w:val="en-US"/>
        </w:rPr>
        <w:t xml:space="preserve"> </w:t>
      </w:r>
      <w:r>
        <w:rPr>
          <w:color w:val="000000" w:themeColor="text1"/>
          <w:lang w:val="en-US"/>
        </w:rPr>
        <w:t>Consequently,</w:t>
      </w:r>
      <w:r w:rsidR="005F498C">
        <w:rPr>
          <w:color w:val="000000" w:themeColor="text1"/>
          <w:lang w:val="en-US"/>
        </w:rPr>
        <w:t xml:space="preserve"> revealing </w:t>
      </w:r>
      <w:r w:rsidR="00B770D3">
        <w:rPr>
          <w:color w:val="000000" w:themeColor="text1"/>
          <w:lang w:val="en-US"/>
        </w:rPr>
        <w:t>some</w:t>
      </w:r>
      <w:r w:rsidR="005F498C">
        <w:rPr>
          <w:color w:val="000000" w:themeColor="text1"/>
          <w:lang w:val="en-US"/>
        </w:rPr>
        <w:t xml:space="preserve"> Not Available</w:t>
      </w:r>
      <w:r w:rsidR="007E27C2">
        <w:rPr>
          <w:color w:val="000000" w:themeColor="text1"/>
          <w:lang w:val="en-US"/>
        </w:rPr>
        <w:t xml:space="preserve"> (NA)</w:t>
      </w:r>
      <w:r w:rsidR="005F498C">
        <w:rPr>
          <w:color w:val="000000" w:themeColor="text1"/>
          <w:lang w:val="en-US"/>
        </w:rPr>
        <w:t xml:space="preserve"> values in (Table </w:t>
      </w:r>
      <w:r w:rsidR="00B770D3">
        <w:rPr>
          <w:color w:val="000000" w:themeColor="text1"/>
          <w:lang w:val="en-US"/>
        </w:rPr>
        <w:t>2).</w:t>
      </w:r>
      <w:r w:rsidR="00CC7B74">
        <w:rPr>
          <w:color w:val="000000" w:themeColor="text1"/>
          <w:lang w:val="en-US"/>
        </w:rPr>
        <w:t xml:space="preserve"> </w:t>
      </w:r>
      <w:r w:rsidR="003D502A">
        <w:rPr>
          <w:color w:val="000000" w:themeColor="text1"/>
          <w:lang w:val="en-US"/>
        </w:rPr>
        <w:t>T</w:t>
      </w:r>
      <w:r w:rsidR="00EA7593">
        <w:rPr>
          <w:color w:val="000000" w:themeColor="text1"/>
          <w:lang w:val="en-US"/>
        </w:rPr>
        <w:t xml:space="preserve">he negative </w:t>
      </w:r>
      <w:r w:rsidR="003D502A">
        <w:rPr>
          <w:color w:val="000000" w:themeColor="text1"/>
          <w:lang w:val="en-US"/>
        </w:rPr>
        <w:t>consequence</w:t>
      </w:r>
      <w:r w:rsidR="00EA7593">
        <w:rPr>
          <w:color w:val="000000" w:themeColor="text1"/>
          <w:lang w:val="en-US"/>
        </w:rPr>
        <w:t xml:space="preserve"> of only looking at the categories of climate in the </w:t>
      </w:r>
      <w:r w:rsidR="006C2F01">
        <w:rPr>
          <w:color w:val="000000" w:themeColor="text1"/>
          <w:lang w:val="en-US"/>
        </w:rPr>
        <w:t>analysis</w:t>
      </w:r>
      <w:r w:rsidR="00CC7B74">
        <w:rPr>
          <w:color w:val="000000" w:themeColor="text1"/>
          <w:lang w:val="en-US"/>
        </w:rPr>
        <w:t>, is it</w:t>
      </w:r>
      <w:r w:rsidR="006C2F01">
        <w:rPr>
          <w:color w:val="000000" w:themeColor="text1"/>
          <w:lang w:val="en-US"/>
        </w:rPr>
        <w:t xml:space="preserve"> would give us insufficient finding</w:t>
      </w:r>
      <w:r w:rsidR="004F359C">
        <w:rPr>
          <w:color w:val="000000" w:themeColor="text1"/>
          <w:lang w:val="en-US"/>
        </w:rPr>
        <w:t>s</w:t>
      </w:r>
      <w:r w:rsidR="00CC7B74">
        <w:rPr>
          <w:color w:val="000000" w:themeColor="text1"/>
          <w:lang w:val="en-US"/>
        </w:rPr>
        <w:t xml:space="preserve"> that provides only a</w:t>
      </w:r>
      <w:r w:rsidR="00EA7593">
        <w:rPr>
          <w:color w:val="000000" w:themeColor="text1"/>
          <w:lang w:val="en-US"/>
        </w:rPr>
        <w:t xml:space="preserve"> </w:t>
      </w:r>
      <w:r w:rsidR="006C2F01">
        <w:rPr>
          <w:color w:val="000000" w:themeColor="text1"/>
          <w:lang w:val="en-US"/>
        </w:rPr>
        <w:t>qualitative variable</w:t>
      </w:r>
      <w:r w:rsidR="00EA7593">
        <w:rPr>
          <w:color w:val="000000" w:themeColor="text1"/>
          <w:lang w:val="en-US"/>
        </w:rPr>
        <w:t>. Hence, inadequate information</w:t>
      </w:r>
      <w:r w:rsidR="001B3D09">
        <w:rPr>
          <w:color w:val="000000" w:themeColor="text1"/>
          <w:lang w:val="en-US"/>
        </w:rPr>
        <w:t xml:space="preserve"> </w:t>
      </w:r>
      <w:r w:rsidR="00EA7593">
        <w:rPr>
          <w:color w:val="000000" w:themeColor="text1"/>
          <w:lang w:val="en-US"/>
        </w:rPr>
        <w:t>give</w:t>
      </w:r>
      <w:r w:rsidR="001B3D09">
        <w:rPr>
          <w:color w:val="000000" w:themeColor="text1"/>
          <w:lang w:val="en-US"/>
        </w:rPr>
        <w:t>s</w:t>
      </w:r>
      <w:r w:rsidR="004F359C">
        <w:rPr>
          <w:color w:val="000000" w:themeColor="text1"/>
          <w:lang w:val="en-US"/>
        </w:rPr>
        <w:t xml:space="preserve"> an</w:t>
      </w:r>
      <w:r w:rsidR="006C2F01">
        <w:rPr>
          <w:color w:val="000000" w:themeColor="text1"/>
          <w:lang w:val="en-US"/>
        </w:rPr>
        <w:t xml:space="preserve"> unreliable</w:t>
      </w:r>
      <w:r w:rsidR="00EA7593">
        <w:rPr>
          <w:color w:val="000000" w:themeColor="text1"/>
          <w:lang w:val="en-US"/>
        </w:rPr>
        <w:t xml:space="preserve"> </w:t>
      </w:r>
      <w:r w:rsidR="003D502A">
        <w:rPr>
          <w:color w:val="000000" w:themeColor="text1"/>
          <w:lang w:val="en-US"/>
        </w:rPr>
        <w:t>answer</w:t>
      </w:r>
      <w:r w:rsidR="006C2F01">
        <w:rPr>
          <w:color w:val="000000" w:themeColor="text1"/>
          <w:lang w:val="en-US"/>
        </w:rPr>
        <w:t xml:space="preserve"> to the research question</w:t>
      </w:r>
      <w:r w:rsidR="003D502A">
        <w:rPr>
          <w:color w:val="000000" w:themeColor="text1"/>
          <w:lang w:val="en-US"/>
        </w:rPr>
        <w:t>. In that case</w:t>
      </w:r>
      <w:r w:rsidR="001B3D09">
        <w:rPr>
          <w:color w:val="000000" w:themeColor="text1"/>
          <w:lang w:val="en-US"/>
        </w:rPr>
        <w:t>,</w:t>
      </w:r>
      <w:r w:rsidR="003D502A">
        <w:rPr>
          <w:color w:val="000000" w:themeColor="text1"/>
          <w:lang w:val="en-US"/>
        </w:rPr>
        <w:t xml:space="preserve"> including its mean SiteMedian </w:t>
      </w:r>
      <w:r w:rsidR="006C2F01">
        <w:rPr>
          <w:color w:val="000000" w:themeColor="text1"/>
          <w:lang w:val="en-US"/>
        </w:rPr>
        <w:t>allows</w:t>
      </w:r>
      <w:r w:rsidR="003D502A">
        <w:rPr>
          <w:color w:val="000000" w:themeColor="text1"/>
          <w:lang w:val="en-US"/>
        </w:rPr>
        <w:t xml:space="preserve"> a much stronger analysis by integrating quantitative values in</w:t>
      </w:r>
      <w:r w:rsidR="006C2F01">
        <w:rPr>
          <w:color w:val="000000" w:themeColor="text1"/>
          <w:lang w:val="en-US"/>
        </w:rPr>
        <w:t xml:space="preserve">to </w:t>
      </w:r>
      <w:r w:rsidR="008753D9">
        <w:rPr>
          <w:color w:val="000000" w:themeColor="text1"/>
          <w:lang w:val="en-US"/>
        </w:rPr>
        <w:t xml:space="preserve">the </w:t>
      </w:r>
      <w:r w:rsidR="003D502A">
        <w:rPr>
          <w:color w:val="000000" w:themeColor="text1"/>
          <w:lang w:val="en-US"/>
        </w:rPr>
        <w:t xml:space="preserve">graphical analysis. This validates </w:t>
      </w:r>
      <w:r w:rsidR="006C2F01">
        <w:rPr>
          <w:color w:val="000000" w:themeColor="text1"/>
          <w:lang w:val="en-US"/>
        </w:rPr>
        <w:t>the</w:t>
      </w:r>
      <w:r w:rsidR="003D502A">
        <w:rPr>
          <w:color w:val="000000" w:themeColor="text1"/>
          <w:lang w:val="en-US"/>
        </w:rPr>
        <w:t xml:space="preserve"> </w:t>
      </w:r>
      <w:r w:rsidR="006C2F01">
        <w:rPr>
          <w:color w:val="000000" w:themeColor="text1"/>
          <w:lang w:val="en-US"/>
        </w:rPr>
        <w:t>discovery of the overall health of rivers</w:t>
      </w:r>
      <w:r w:rsidR="008753D9">
        <w:rPr>
          <w:color w:val="000000" w:themeColor="text1"/>
          <w:lang w:val="en-US"/>
        </w:rPr>
        <w:t xml:space="preserve"> by having an indicator of mean average percentage of macroinvertebrates present in </w:t>
      </w:r>
      <w:r w:rsidR="001B3D09">
        <w:rPr>
          <w:color w:val="000000" w:themeColor="text1"/>
          <w:lang w:val="en-US"/>
        </w:rPr>
        <w:t>major rivers within each TA,</w:t>
      </w:r>
      <w:r w:rsidR="001B3D09" w:rsidRPr="001B3D09">
        <w:rPr>
          <w:color w:val="000000" w:themeColor="text1"/>
          <w:lang w:val="en-US"/>
        </w:rPr>
        <w:t xml:space="preserve"> </w:t>
      </w:r>
      <w:r w:rsidR="001B3D09">
        <w:rPr>
          <w:color w:val="000000" w:themeColor="text1"/>
          <w:lang w:val="en-US"/>
        </w:rPr>
        <w:t>coupled with some climate indicators.</w:t>
      </w:r>
    </w:p>
    <w:p w14:paraId="2BFF395A" w14:textId="3666255A" w:rsidR="007E27C2" w:rsidRDefault="007E27C2" w:rsidP="00B3052E">
      <w:pPr>
        <w:rPr>
          <w:color w:val="000000" w:themeColor="text1"/>
          <w:lang w:val="en-US"/>
        </w:rPr>
      </w:pPr>
    </w:p>
    <w:p w14:paraId="7E1907CC" w14:textId="75588A54" w:rsidR="00E551CE" w:rsidRDefault="000067A8" w:rsidP="00B3052E">
      <w:pPr>
        <w:rPr>
          <w:color w:val="000000" w:themeColor="text1"/>
          <w:lang w:val="en-US"/>
        </w:rPr>
      </w:pPr>
      <w:r>
        <w:rPr>
          <w:color w:val="000000" w:themeColor="text1"/>
          <w:lang w:val="en-US"/>
        </w:rPr>
        <w:t xml:space="preserve">The final graphical output </w:t>
      </w:r>
      <w:r w:rsidR="008C024A">
        <w:rPr>
          <w:color w:val="000000" w:themeColor="text1"/>
          <w:lang w:val="en-US"/>
        </w:rPr>
        <w:t xml:space="preserve">gives an insight </w:t>
      </w:r>
      <w:r w:rsidR="00E551CE">
        <w:rPr>
          <w:color w:val="000000" w:themeColor="text1"/>
          <w:lang w:val="en-US"/>
        </w:rPr>
        <w:t>of</w:t>
      </w:r>
      <w:r w:rsidR="008C024A">
        <w:rPr>
          <w:color w:val="000000" w:themeColor="text1"/>
          <w:lang w:val="en-US"/>
        </w:rPr>
        <w:t xml:space="preserve"> where in South Island</w:t>
      </w:r>
      <w:r w:rsidR="00E551CE">
        <w:rPr>
          <w:color w:val="000000" w:themeColor="text1"/>
          <w:lang w:val="en-US"/>
        </w:rPr>
        <w:t xml:space="preserve"> TAs had the highest mean average SiteMedian.</w:t>
      </w:r>
      <w:r w:rsidR="00F26E9C">
        <w:rPr>
          <w:color w:val="000000" w:themeColor="text1"/>
          <w:lang w:val="en-US"/>
        </w:rPr>
        <w:t xml:space="preserve"> The graph reveals an unevenly distributed MCI across the whole South Island that is measured by the mean of SiteMedian. (Figure 4) shows the variability of the health of the rivers in South Island TAs</w:t>
      </w:r>
      <w:r w:rsidR="00915FE0">
        <w:rPr>
          <w:color w:val="000000" w:themeColor="text1"/>
          <w:lang w:val="en-US"/>
        </w:rPr>
        <w:t xml:space="preserve">, though Westland District showing the most unusual result of having </w:t>
      </w:r>
      <w:r w:rsidR="00F26E9C">
        <w:rPr>
          <w:color w:val="000000" w:themeColor="text1"/>
          <w:lang w:val="en-US"/>
        </w:rPr>
        <w:t>an outlier maximum value of 140.50 mean site media</w:t>
      </w:r>
      <w:r w:rsidR="00915FE0">
        <w:rPr>
          <w:color w:val="000000" w:themeColor="text1"/>
          <w:lang w:val="en-US"/>
        </w:rPr>
        <w:t>n. Thus, the stream in that district have the healthiest water flow in contrast with the other South Island TAs.</w:t>
      </w:r>
    </w:p>
    <w:p w14:paraId="00761D9A" w14:textId="77777777" w:rsidR="00915FE0" w:rsidRDefault="00915FE0" w:rsidP="00B3052E">
      <w:pPr>
        <w:rPr>
          <w:color w:val="000000" w:themeColor="text1"/>
          <w:lang w:val="en-US"/>
        </w:rPr>
      </w:pPr>
    </w:p>
    <w:p w14:paraId="28E4C6AA" w14:textId="77777777" w:rsidR="001B3D09" w:rsidRDefault="001B3D09" w:rsidP="00B3052E">
      <w:pPr>
        <w:rPr>
          <w:color w:val="000000" w:themeColor="text1"/>
          <w:lang w:val="en-US"/>
        </w:rPr>
      </w:pPr>
    </w:p>
    <w:p w14:paraId="60470942" w14:textId="77777777" w:rsidR="001B3D09" w:rsidRDefault="001B3D09" w:rsidP="00B3052E">
      <w:pPr>
        <w:rPr>
          <w:color w:val="000000" w:themeColor="text1"/>
          <w:lang w:val="en-US"/>
        </w:rPr>
      </w:pPr>
    </w:p>
    <w:p w14:paraId="48EA3677" w14:textId="77777777" w:rsidR="0040513B" w:rsidRPr="0040513B" w:rsidRDefault="0040513B" w:rsidP="00B3052E">
      <w:pPr>
        <w:rPr>
          <w:color w:val="000000" w:themeColor="text1"/>
          <w:lang w:val="en-US"/>
        </w:rPr>
      </w:pPr>
    </w:p>
    <w:p w14:paraId="6A0E53F7" w14:textId="77777777" w:rsidR="0040513B" w:rsidRDefault="0040513B" w:rsidP="0040513B">
      <w:pPr>
        <w:rPr>
          <w:color w:val="000000" w:themeColor="text1"/>
          <w:lang w:val="en-US"/>
        </w:rPr>
      </w:pPr>
      <w:r>
        <w:rPr>
          <w:noProof/>
          <w:color w:val="000000" w:themeColor="text1"/>
          <w:lang w:val="en-US"/>
        </w:rPr>
        <w:lastRenderedPageBreak/>
        <w:drawing>
          <wp:inline distT="0" distB="0" distL="0" distR="0" wp14:anchorId="2B0C8A43" wp14:editId="1B20ED75">
            <wp:extent cx="5055570" cy="385301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64972" cy="3860176"/>
                    </a:xfrm>
                    <a:prstGeom prst="rect">
                      <a:avLst/>
                    </a:prstGeom>
                  </pic:spPr>
                </pic:pic>
              </a:graphicData>
            </a:graphic>
          </wp:inline>
        </w:drawing>
      </w:r>
    </w:p>
    <w:p w14:paraId="42B8150E" w14:textId="4F3C5515" w:rsidR="0040513B" w:rsidRDefault="0040513B" w:rsidP="0040513B">
      <w:pPr>
        <w:rPr>
          <w:color w:val="000000" w:themeColor="text1"/>
          <w:sz w:val="20"/>
          <w:szCs w:val="20"/>
          <w:lang w:val="en-US"/>
        </w:rPr>
      </w:pPr>
      <w:r w:rsidRPr="009D792A">
        <w:rPr>
          <w:b/>
          <w:bCs/>
          <w:color w:val="000000" w:themeColor="text1"/>
          <w:sz w:val="20"/>
          <w:szCs w:val="20"/>
          <w:lang w:val="en-US"/>
        </w:rPr>
        <w:t xml:space="preserve">Figure </w:t>
      </w:r>
      <w:r>
        <w:rPr>
          <w:b/>
          <w:bCs/>
          <w:color w:val="000000" w:themeColor="text1"/>
          <w:sz w:val="20"/>
          <w:szCs w:val="20"/>
          <w:lang w:val="en-US"/>
        </w:rPr>
        <w:t>2</w:t>
      </w:r>
      <w:r w:rsidRPr="009D792A">
        <w:rPr>
          <w:b/>
          <w:bCs/>
          <w:color w:val="000000" w:themeColor="text1"/>
          <w:sz w:val="20"/>
          <w:szCs w:val="20"/>
          <w:lang w:val="en-US"/>
        </w:rPr>
        <w:t>.</w:t>
      </w:r>
      <w:r w:rsidRPr="009D792A">
        <w:rPr>
          <w:color w:val="000000" w:themeColor="text1"/>
          <w:sz w:val="20"/>
          <w:szCs w:val="20"/>
          <w:lang w:val="en-US"/>
        </w:rPr>
        <w:t xml:space="preserve"> The correlation between the SiteMedian of Macroinvertebrate Community Index (MCI) and different categories of Climate</w:t>
      </w:r>
      <w:r>
        <w:rPr>
          <w:color w:val="000000" w:themeColor="text1"/>
          <w:sz w:val="20"/>
          <w:szCs w:val="20"/>
          <w:lang w:val="en-US"/>
        </w:rPr>
        <w:t>.</w:t>
      </w:r>
    </w:p>
    <w:p w14:paraId="26F85931" w14:textId="208284C5" w:rsidR="0040513B" w:rsidRDefault="0040513B" w:rsidP="0040513B">
      <w:pPr>
        <w:rPr>
          <w:color w:val="000000" w:themeColor="text1"/>
          <w:sz w:val="20"/>
          <w:szCs w:val="20"/>
          <w:lang w:val="en-US"/>
        </w:rPr>
      </w:pPr>
    </w:p>
    <w:p w14:paraId="4A2C367C" w14:textId="1D330060" w:rsidR="0040513B" w:rsidRDefault="0040513B" w:rsidP="0040513B">
      <w:pPr>
        <w:rPr>
          <w:color w:val="000000" w:themeColor="text1"/>
          <w:sz w:val="20"/>
          <w:szCs w:val="20"/>
          <w:lang w:val="en-US"/>
        </w:rPr>
      </w:pPr>
    </w:p>
    <w:p w14:paraId="0FDB2E5E" w14:textId="77777777" w:rsidR="0040513B" w:rsidRDefault="0040513B" w:rsidP="0040513B">
      <w:pPr>
        <w:rPr>
          <w:color w:val="000000" w:themeColor="text1"/>
          <w:lang w:val="en-US"/>
        </w:rPr>
      </w:pPr>
      <w:r>
        <w:rPr>
          <w:noProof/>
        </w:rPr>
        <w:drawing>
          <wp:inline distT="0" distB="0" distL="0" distR="0" wp14:anchorId="0424AA67" wp14:editId="0DA9F1C9">
            <wp:extent cx="5731510" cy="4126865"/>
            <wp:effectExtent l="0" t="0" r="2540" b="6985"/>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21"/>
                    <a:stretch>
                      <a:fillRect/>
                    </a:stretch>
                  </pic:blipFill>
                  <pic:spPr>
                    <a:xfrm>
                      <a:off x="0" y="0"/>
                      <a:ext cx="5731510" cy="4126865"/>
                    </a:xfrm>
                    <a:prstGeom prst="rect">
                      <a:avLst/>
                    </a:prstGeom>
                  </pic:spPr>
                </pic:pic>
              </a:graphicData>
            </a:graphic>
          </wp:inline>
        </w:drawing>
      </w:r>
    </w:p>
    <w:p w14:paraId="668E822B" w14:textId="7E7A6FA5" w:rsidR="0040513B" w:rsidRPr="007D0A6A" w:rsidRDefault="0040513B" w:rsidP="0040513B">
      <w:pPr>
        <w:jc w:val="center"/>
        <w:rPr>
          <w:color w:val="000000" w:themeColor="text1"/>
          <w:sz w:val="20"/>
          <w:szCs w:val="20"/>
          <w:lang w:val="en-US"/>
        </w:rPr>
      </w:pPr>
      <w:r w:rsidRPr="007D0A6A">
        <w:rPr>
          <w:b/>
          <w:color w:val="000000" w:themeColor="text1"/>
          <w:sz w:val="20"/>
          <w:szCs w:val="20"/>
          <w:lang w:val="en-US"/>
        </w:rPr>
        <w:t xml:space="preserve">Figure </w:t>
      </w:r>
      <w:r w:rsidR="002B7937">
        <w:rPr>
          <w:b/>
          <w:color w:val="000000" w:themeColor="text1"/>
          <w:sz w:val="20"/>
          <w:szCs w:val="20"/>
          <w:lang w:val="en-US"/>
        </w:rPr>
        <w:t>3</w:t>
      </w:r>
      <w:r>
        <w:rPr>
          <w:b/>
          <w:color w:val="000000" w:themeColor="text1"/>
          <w:sz w:val="20"/>
          <w:szCs w:val="20"/>
          <w:lang w:val="en-US"/>
        </w:rPr>
        <w:t>.</w:t>
      </w:r>
      <w:r w:rsidRPr="007D0A6A">
        <w:rPr>
          <w:color w:val="000000" w:themeColor="text1"/>
          <w:sz w:val="20"/>
          <w:szCs w:val="20"/>
          <w:lang w:val="en-US"/>
        </w:rPr>
        <w:t xml:space="preserve"> Di</w:t>
      </w:r>
      <w:r>
        <w:rPr>
          <w:color w:val="000000" w:themeColor="text1"/>
          <w:sz w:val="20"/>
          <w:szCs w:val="20"/>
          <w:lang w:val="en-US"/>
        </w:rPr>
        <w:t>stribution of MCI sites across South Island.</w:t>
      </w:r>
    </w:p>
    <w:p w14:paraId="48A227BC" w14:textId="56E049A1" w:rsidR="0040513B" w:rsidRDefault="0040513B" w:rsidP="0040513B">
      <w:pPr>
        <w:rPr>
          <w:color w:val="000000" w:themeColor="text1"/>
          <w:sz w:val="20"/>
          <w:szCs w:val="20"/>
          <w:lang w:val="en-US"/>
        </w:rPr>
      </w:pPr>
    </w:p>
    <w:p w14:paraId="3BE3FA2C" w14:textId="77777777" w:rsidR="0040513B" w:rsidRDefault="0040513B" w:rsidP="0040513B">
      <w:pPr>
        <w:rPr>
          <w:color w:val="000000" w:themeColor="text1"/>
          <w:lang w:val="en-US"/>
        </w:rPr>
      </w:pPr>
      <w:r>
        <w:rPr>
          <w:noProof/>
          <w:color w:val="000000" w:themeColor="text1"/>
          <w:lang w:val="en-US"/>
        </w:rPr>
        <w:lastRenderedPageBreak/>
        <w:drawing>
          <wp:inline distT="0" distB="0" distL="0" distR="0" wp14:anchorId="312BF4F6" wp14:editId="7E615103">
            <wp:extent cx="5052510" cy="3833325"/>
            <wp:effectExtent l="0" t="0" r="2540" b="254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71443" cy="3847690"/>
                    </a:xfrm>
                    <a:prstGeom prst="rect">
                      <a:avLst/>
                    </a:prstGeom>
                  </pic:spPr>
                </pic:pic>
              </a:graphicData>
            </a:graphic>
          </wp:inline>
        </w:drawing>
      </w:r>
    </w:p>
    <w:p w14:paraId="34014E77" w14:textId="16B31C88" w:rsidR="0040513B" w:rsidRPr="002D006F" w:rsidRDefault="0040513B" w:rsidP="0040513B">
      <w:pPr>
        <w:rPr>
          <w:color w:val="000000" w:themeColor="text1"/>
          <w:sz w:val="20"/>
          <w:szCs w:val="20"/>
          <w:lang w:val="en-US"/>
        </w:rPr>
      </w:pPr>
      <w:r w:rsidRPr="002D006F">
        <w:rPr>
          <w:b/>
          <w:bCs/>
          <w:color w:val="000000" w:themeColor="text1"/>
          <w:sz w:val="20"/>
          <w:szCs w:val="20"/>
          <w:lang w:val="en-US"/>
        </w:rPr>
        <w:t xml:space="preserve">Figure </w:t>
      </w:r>
      <w:r w:rsidR="002B7937">
        <w:rPr>
          <w:b/>
          <w:bCs/>
          <w:color w:val="000000" w:themeColor="text1"/>
          <w:sz w:val="20"/>
          <w:szCs w:val="20"/>
          <w:lang w:val="en-US"/>
        </w:rPr>
        <w:t>4</w:t>
      </w:r>
      <w:r w:rsidRPr="002D006F">
        <w:rPr>
          <w:b/>
          <w:bCs/>
          <w:color w:val="000000" w:themeColor="text1"/>
          <w:sz w:val="20"/>
          <w:szCs w:val="20"/>
          <w:lang w:val="en-US"/>
        </w:rPr>
        <w:t>.</w:t>
      </w:r>
      <w:r w:rsidRPr="002D006F">
        <w:rPr>
          <w:color w:val="000000" w:themeColor="text1"/>
          <w:sz w:val="20"/>
          <w:szCs w:val="20"/>
          <w:lang w:val="en-US"/>
        </w:rPr>
        <w:t xml:space="preserve"> The correlation between South Island Territorial Authorities (TA) and the Mean of SiteMedian</w:t>
      </w:r>
      <w:r>
        <w:rPr>
          <w:color w:val="000000" w:themeColor="text1"/>
          <w:sz w:val="20"/>
          <w:szCs w:val="20"/>
          <w:lang w:val="en-US"/>
        </w:rPr>
        <w:t xml:space="preserve"> of major rivers.</w:t>
      </w:r>
    </w:p>
    <w:p w14:paraId="75759BB9" w14:textId="77777777" w:rsidR="0040513B" w:rsidRDefault="0040513B" w:rsidP="0040513B">
      <w:pPr>
        <w:rPr>
          <w:color w:val="000000" w:themeColor="text1"/>
          <w:sz w:val="20"/>
          <w:szCs w:val="20"/>
          <w:lang w:val="en-US"/>
        </w:rPr>
      </w:pPr>
    </w:p>
    <w:p w14:paraId="314FBC64" w14:textId="5AFB1846" w:rsidR="0040513B" w:rsidRDefault="0040513B" w:rsidP="00B3052E">
      <w:pPr>
        <w:rPr>
          <w:b/>
          <w:bCs/>
          <w:color w:val="000000" w:themeColor="text1"/>
          <w:lang w:val="en-US"/>
        </w:rPr>
      </w:pPr>
    </w:p>
    <w:p w14:paraId="6DDF2E5D" w14:textId="26028612" w:rsidR="0040513B" w:rsidRDefault="0040513B" w:rsidP="00B3052E">
      <w:pPr>
        <w:rPr>
          <w:b/>
          <w:bCs/>
          <w:color w:val="000000" w:themeColor="text1"/>
          <w:lang w:val="en-US"/>
        </w:rPr>
      </w:pPr>
    </w:p>
    <w:p w14:paraId="49DE23C0" w14:textId="77777777" w:rsidR="0040513B" w:rsidRDefault="0040513B" w:rsidP="00B3052E">
      <w:pPr>
        <w:rPr>
          <w:b/>
          <w:bCs/>
          <w:color w:val="000000" w:themeColor="text1"/>
          <w:lang w:val="en-US"/>
        </w:rPr>
      </w:pPr>
    </w:p>
    <w:p w14:paraId="0A6644B4" w14:textId="068D5B19" w:rsidR="00BD1874" w:rsidRDefault="00886B61" w:rsidP="00B3052E">
      <w:pPr>
        <w:rPr>
          <w:color w:val="000000" w:themeColor="text1"/>
          <w:lang w:val="en-US"/>
        </w:rPr>
      </w:pPr>
      <w:r w:rsidRPr="00645B93">
        <w:rPr>
          <w:b/>
          <w:bCs/>
          <w:color w:val="000000" w:themeColor="text1"/>
          <w:lang w:val="en-US"/>
        </w:rPr>
        <w:t xml:space="preserve">Table </w:t>
      </w:r>
      <w:r w:rsidR="000A0605">
        <w:rPr>
          <w:b/>
          <w:bCs/>
          <w:color w:val="000000" w:themeColor="text1"/>
          <w:lang w:val="en-US"/>
        </w:rPr>
        <w:t>2</w:t>
      </w:r>
      <w:r w:rsidRPr="00645B93">
        <w:rPr>
          <w:b/>
          <w:bCs/>
          <w:color w:val="000000" w:themeColor="text1"/>
          <w:lang w:val="en-US"/>
        </w:rPr>
        <w:t>.</w:t>
      </w:r>
      <w:r>
        <w:rPr>
          <w:color w:val="000000" w:themeColor="text1"/>
          <w:lang w:val="en-US"/>
        </w:rPr>
        <w:t xml:space="preserve"> </w:t>
      </w:r>
      <w:r w:rsidR="00645B93">
        <w:rPr>
          <w:color w:val="000000" w:themeColor="text1"/>
          <w:lang w:val="en-US"/>
        </w:rPr>
        <w:t>Mean SiteMedian of Major Rivers</w:t>
      </w:r>
    </w:p>
    <w:tbl>
      <w:tblPr>
        <w:tblStyle w:val="TableGrid"/>
        <w:tblW w:w="9198" w:type="dxa"/>
        <w:tblLook w:val="04A0" w:firstRow="1" w:lastRow="0" w:firstColumn="1" w:lastColumn="0" w:noHBand="0" w:noVBand="1"/>
      </w:tblPr>
      <w:tblGrid>
        <w:gridCol w:w="4004"/>
        <w:gridCol w:w="1568"/>
        <w:gridCol w:w="1744"/>
        <w:gridCol w:w="1882"/>
      </w:tblGrid>
      <w:tr w:rsidR="00BD1874" w14:paraId="17246D1E" w14:textId="77777777" w:rsidTr="00645B93">
        <w:trPr>
          <w:trHeight w:val="285"/>
        </w:trPr>
        <w:tc>
          <w:tcPr>
            <w:tcW w:w="4004" w:type="dxa"/>
            <w:vMerge w:val="restart"/>
            <w:tcBorders>
              <w:bottom w:val="single" w:sz="6" w:space="0" w:color="auto"/>
              <w:right w:val="single" w:sz="6" w:space="0" w:color="auto"/>
            </w:tcBorders>
          </w:tcPr>
          <w:p w14:paraId="72D56CED" w14:textId="480E11CC" w:rsidR="00BD1874" w:rsidRPr="00645B93" w:rsidRDefault="00BD1874" w:rsidP="00BD1874">
            <w:pPr>
              <w:jc w:val="center"/>
              <w:rPr>
                <w:b/>
                <w:bCs/>
                <w:color w:val="000000" w:themeColor="text1"/>
                <w:lang w:val="en-US"/>
              </w:rPr>
            </w:pPr>
            <w:r w:rsidRPr="00645B93">
              <w:rPr>
                <w:b/>
                <w:bCs/>
                <w:color w:val="000000" w:themeColor="text1"/>
                <w:lang w:val="en-US"/>
              </w:rPr>
              <w:t>South Island TAs</w:t>
            </w:r>
          </w:p>
        </w:tc>
        <w:tc>
          <w:tcPr>
            <w:tcW w:w="5194" w:type="dxa"/>
            <w:gridSpan w:val="3"/>
            <w:tcBorders>
              <w:left w:val="single" w:sz="6" w:space="0" w:color="auto"/>
              <w:bottom w:val="single" w:sz="6" w:space="0" w:color="auto"/>
            </w:tcBorders>
          </w:tcPr>
          <w:p w14:paraId="37FD9AB2" w14:textId="66399FBA" w:rsidR="00BD1874" w:rsidRPr="00645B93" w:rsidRDefault="00BD1874" w:rsidP="00BD1874">
            <w:pPr>
              <w:jc w:val="center"/>
              <w:rPr>
                <w:b/>
                <w:bCs/>
                <w:color w:val="000000" w:themeColor="text1"/>
                <w:lang w:val="en-US"/>
              </w:rPr>
            </w:pPr>
            <w:r w:rsidRPr="00645B93">
              <w:rPr>
                <w:b/>
                <w:bCs/>
                <w:color w:val="000000" w:themeColor="text1"/>
                <w:lang w:val="en-US"/>
              </w:rPr>
              <w:t>Mean Values of SiteMedian</w:t>
            </w:r>
          </w:p>
        </w:tc>
      </w:tr>
      <w:tr w:rsidR="00BD1874" w14:paraId="673F1B07" w14:textId="77777777" w:rsidTr="00645B93">
        <w:trPr>
          <w:trHeight w:val="324"/>
        </w:trPr>
        <w:tc>
          <w:tcPr>
            <w:tcW w:w="4004" w:type="dxa"/>
            <w:vMerge/>
            <w:tcBorders>
              <w:top w:val="single" w:sz="6" w:space="0" w:color="auto"/>
              <w:bottom w:val="single" w:sz="6" w:space="0" w:color="auto"/>
              <w:right w:val="single" w:sz="6" w:space="0" w:color="auto"/>
            </w:tcBorders>
          </w:tcPr>
          <w:p w14:paraId="6CD41761" w14:textId="68600E36" w:rsidR="00BD1874" w:rsidRDefault="00BD1874" w:rsidP="00B3052E">
            <w:pPr>
              <w:rPr>
                <w:color w:val="000000" w:themeColor="text1"/>
                <w:lang w:val="en-US"/>
              </w:rPr>
            </w:pPr>
          </w:p>
        </w:tc>
        <w:tc>
          <w:tcPr>
            <w:tcW w:w="1568" w:type="dxa"/>
            <w:tcBorders>
              <w:top w:val="single" w:sz="6" w:space="0" w:color="auto"/>
              <w:left w:val="single" w:sz="6" w:space="0" w:color="auto"/>
              <w:bottom w:val="single" w:sz="6" w:space="0" w:color="auto"/>
              <w:right w:val="single" w:sz="6" w:space="0" w:color="auto"/>
            </w:tcBorders>
          </w:tcPr>
          <w:p w14:paraId="1F91CD11" w14:textId="6FFD7871" w:rsidR="00BD1874" w:rsidRPr="00645B93" w:rsidRDefault="00BD1874" w:rsidP="00B3052E">
            <w:pPr>
              <w:rPr>
                <w:b/>
                <w:bCs/>
                <w:color w:val="000000" w:themeColor="text1"/>
                <w:lang w:val="en-US"/>
              </w:rPr>
            </w:pPr>
            <w:r w:rsidRPr="00645B93">
              <w:rPr>
                <w:b/>
                <w:bCs/>
                <w:color w:val="000000" w:themeColor="text1"/>
                <w:lang w:val="en-US"/>
              </w:rPr>
              <w:t>Min</w:t>
            </w:r>
          </w:p>
        </w:tc>
        <w:tc>
          <w:tcPr>
            <w:tcW w:w="1744" w:type="dxa"/>
            <w:tcBorders>
              <w:top w:val="single" w:sz="6" w:space="0" w:color="auto"/>
              <w:left w:val="single" w:sz="6" w:space="0" w:color="auto"/>
              <w:bottom w:val="single" w:sz="6" w:space="0" w:color="auto"/>
              <w:right w:val="single" w:sz="6" w:space="0" w:color="auto"/>
            </w:tcBorders>
          </w:tcPr>
          <w:p w14:paraId="3774BD26" w14:textId="7C84ABF2" w:rsidR="00BD1874" w:rsidRPr="00645B93" w:rsidRDefault="00BD1874" w:rsidP="00B3052E">
            <w:pPr>
              <w:rPr>
                <w:b/>
                <w:bCs/>
                <w:color w:val="000000" w:themeColor="text1"/>
                <w:lang w:val="en-US"/>
              </w:rPr>
            </w:pPr>
            <w:r w:rsidRPr="00645B93">
              <w:rPr>
                <w:b/>
                <w:bCs/>
                <w:color w:val="000000" w:themeColor="text1"/>
                <w:lang w:val="en-US"/>
              </w:rPr>
              <w:t>Median</w:t>
            </w:r>
          </w:p>
        </w:tc>
        <w:tc>
          <w:tcPr>
            <w:tcW w:w="1882" w:type="dxa"/>
            <w:tcBorders>
              <w:top w:val="single" w:sz="6" w:space="0" w:color="auto"/>
              <w:left w:val="single" w:sz="6" w:space="0" w:color="auto"/>
              <w:bottom w:val="single" w:sz="6" w:space="0" w:color="auto"/>
            </w:tcBorders>
          </w:tcPr>
          <w:p w14:paraId="14892895" w14:textId="16337656" w:rsidR="00BD1874" w:rsidRPr="00645B93" w:rsidRDefault="00BD1874" w:rsidP="00B3052E">
            <w:pPr>
              <w:rPr>
                <w:b/>
                <w:bCs/>
                <w:color w:val="000000" w:themeColor="text1"/>
                <w:lang w:val="en-US"/>
              </w:rPr>
            </w:pPr>
            <w:r w:rsidRPr="00645B93">
              <w:rPr>
                <w:b/>
                <w:bCs/>
                <w:color w:val="000000" w:themeColor="text1"/>
                <w:lang w:val="en-US"/>
              </w:rPr>
              <w:t>Max</w:t>
            </w:r>
          </w:p>
        </w:tc>
      </w:tr>
      <w:tr w:rsidR="00BD1874" w14:paraId="19493327" w14:textId="77777777" w:rsidTr="00645B93">
        <w:trPr>
          <w:trHeight w:val="285"/>
        </w:trPr>
        <w:tc>
          <w:tcPr>
            <w:tcW w:w="4004" w:type="dxa"/>
            <w:tcBorders>
              <w:top w:val="single" w:sz="6" w:space="0" w:color="auto"/>
              <w:bottom w:val="single" w:sz="6" w:space="0" w:color="auto"/>
              <w:right w:val="single" w:sz="6" w:space="0" w:color="auto"/>
            </w:tcBorders>
          </w:tcPr>
          <w:p w14:paraId="7AFCBA2D" w14:textId="3ABD5094" w:rsidR="00BD1874" w:rsidRDefault="00BD1874" w:rsidP="00B3052E">
            <w:pPr>
              <w:rPr>
                <w:color w:val="000000" w:themeColor="text1"/>
                <w:lang w:val="en-US"/>
              </w:rPr>
            </w:pPr>
            <w:r>
              <w:rPr>
                <w:color w:val="000000" w:themeColor="text1"/>
                <w:lang w:val="en-US"/>
              </w:rPr>
              <w:t>Westland District</w:t>
            </w:r>
          </w:p>
        </w:tc>
        <w:tc>
          <w:tcPr>
            <w:tcW w:w="1568" w:type="dxa"/>
            <w:tcBorders>
              <w:top w:val="single" w:sz="6" w:space="0" w:color="auto"/>
              <w:left w:val="single" w:sz="6" w:space="0" w:color="auto"/>
              <w:bottom w:val="single" w:sz="6" w:space="0" w:color="auto"/>
              <w:right w:val="single" w:sz="6" w:space="0" w:color="auto"/>
            </w:tcBorders>
          </w:tcPr>
          <w:p w14:paraId="4C7F39FF" w14:textId="5C6E155F" w:rsidR="00BD1874" w:rsidRDefault="00BD1874" w:rsidP="00B3052E">
            <w:pPr>
              <w:rPr>
                <w:color w:val="000000" w:themeColor="text1"/>
                <w:lang w:val="en-US"/>
              </w:rPr>
            </w:pPr>
            <w:r>
              <w:rPr>
                <w:color w:val="000000" w:themeColor="text1"/>
                <w:lang w:val="en-US"/>
              </w:rPr>
              <w:t>104.00</w:t>
            </w:r>
          </w:p>
        </w:tc>
        <w:tc>
          <w:tcPr>
            <w:tcW w:w="1744" w:type="dxa"/>
            <w:tcBorders>
              <w:top w:val="single" w:sz="6" w:space="0" w:color="auto"/>
              <w:left w:val="single" w:sz="6" w:space="0" w:color="auto"/>
              <w:bottom w:val="single" w:sz="6" w:space="0" w:color="auto"/>
              <w:right w:val="single" w:sz="6" w:space="0" w:color="auto"/>
            </w:tcBorders>
          </w:tcPr>
          <w:p w14:paraId="47E0C9F9" w14:textId="6F48DACC" w:rsidR="00BD1874" w:rsidRDefault="00BD1874" w:rsidP="00B3052E">
            <w:pPr>
              <w:rPr>
                <w:color w:val="000000" w:themeColor="text1"/>
                <w:lang w:val="en-US"/>
              </w:rPr>
            </w:pPr>
            <w:r>
              <w:rPr>
                <w:color w:val="000000" w:themeColor="text1"/>
                <w:lang w:val="en-US"/>
              </w:rPr>
              <w:t>116.36</w:t>
            </w:r>
          </w:p>
        </w:tc>
        <w:tc>
          <w:tcPr>
            <w:tcW w:w="1882" w:type="dxa"/>
            <w:tcBorders>
              <w:top w:val="single" w:sz="6" w:space="0" w:color="auto"/>
              <w:left w:val="single" w:sz="6" w:space="0" w:color="auto"/>
              <w:bottom w:val="single" w:sz="6" w:space="0" w:color="auto"/>
            </w:tcBorders>
          </w:tcPr>
          <w:p w14:paraId="15B1233C" w14:textId="53CFFE6F" w:rsidR="00BD1874" w:rsidRDefault="00BD1874" w:rsidP="00B3052E">
            <w:pPr>
              <w:rPr>
                <w:color w:val="000000" w:themeColor="text1"/>
                <w:lang w:val="en-US"/>
              </w:rPr>
            </w:pPr>
            <w:r>
              <w:rPr>
                <w:color w:val="000000" w:themeColor="text1"/>
                <w:lang w:val="en-US"/>
              </w:rPr>
              <w:t>140.50</w:t>
            </w:r>
          </w:p>
        </w:tc>
      </w:tr>
      <w:tr w:rsidR="00BD1874" w14:paraId="65611DD8" w14:textId="77777777" w:rsidTr="00645B93">
        <w:trPr>
          <w:trHeight w:val="285"/>
        </w:trPr>
        <w:tc>
          <w:tcPr>
            <w:tcW w:w="4004" w:type="dxa"/>
            <w:tcBorders>
              <w:top w:val="single" w:sz="6" w:space="0" w:color="auto"/>
              <w:bottom w:val="single" w:sz="6" w:space="0" w:color="auto"/>
              <w:right w:val="single" w:sz="6" w:space="0" w:color="auto"/>
            </w:tcBorders>
          </w:tcPr>
          <w:p w14:paraId="283C1771" w14:textId="0DDB148A" w:rsidR="00BD1874" w:rsidRDefault="00BD1874" w:rsidP="00B3052E">
            <w:pPr>
              <w:rPr>
                <w:color w:val="000000" w:themeColor="text1"/>
                <w:lang w:val="en-US"/>
              </w:rPr>
            </w:pPr>
            <w:r>
              <w:rPr>
                <w:color w:val="000000" w:themeColor="text1"/>
                <w:lang w:val="en-US"/>
              </w:rPr>
              <w:t>Waitaki District</w:t>
            </w:r>
          </w:p>
        </w:tc>
        <w:tc>
          <w:tcPr>
            <w:tcW w:w="1568" w:type="dxa"/>
            <w:tcBorders>
              <w:top w:val="single" w:sz="6" w:space="0" w:color="auto"/>
              <w:left w:val="single" w:sz="6" w:space="0" w:color="auto"/>
              <w:bottom w:val="single" w:sz="6" w:space="0" w:color="auto"/>
              <w:right w:val="single" w:sz="6" w:space="0" w:color="auto"/>
            </w:tcBorders>
          </w:tcPr>
          <w:p w14:paraId="245C0D57" w14:textId="10B889AE" w:rsidR="00BD1874" w:rsidRDefault="00BD1874" w:rsidP="00B3052E">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7A787A6C" w14:textId="3649D3FD" w:rsidR="00BD1874" w:rsidRDefault="00BD1874" w:rsidP="00BD1874">
            <w:pPr>
              <w:tabs>
                <w:tab w:val="left" w:pos="1001"/>
              </w:tabs>
              <w:rPr>
                <w:color w:val="000000" w:themeColor="text1"/>
                <w:lang w:val="en-US"/>
              </w:rPr>
            </w:pPr>
            <w:r>
              <w:rPr>
                <w:color w:val="000000" w:themeColor="text1"/>
                <w:lang w:val="en-US"/>
              </w:rPr>
              <w:t>94.97</w:t>
            </w:r>
            <w:r>
              <w:rPr>
                <w:color w:val="000000" w:themeColor="text1"/>
                <w:lang w:val="en-US"/>
              </w:rPr>
              <w:tab/>
            </w:r>
          </w:p>
        </w:tc>
        <w:tc>
          <w:tcPr>
            <w:tcW w:w="1882" w:type="dxa"/>
            <w:tcBorders>
              <w:top w:val="single" w:sz="6" w:space="0" w:color="auto"/>
              <w:left w:val="single" w:sz="6" w:space="0" w:color="auto"/>
              <w:bottom w:val="single" w:sz="6" w:space="0" w:color="auto"/>
            </w:tcBorders>
          </w:tcPr>
          <w:p w14:paraId="7AFD8DCC" w14:textId="37256061" w:rsidR="00BD1874" w:rsidRDefault="00BD1874" w:rsidP="00B3052E">
            <w:pPr>
              <w:rPr>
                <w:color w:val="000000" w:themeColor="text1"/>
                <w:lang w:val="en-US"/>
              </w:rPr>
            </w:pPr>
            <w:r>
              <w:rPr>
                <w:color w:val="000000" w:themeColor="text1"/>
                <w:lang w:val="en-US"/>
              </w:rPr>
              <w:t>110.56</w:t>
            </w:r>
          </w:p>
        </w:tc>
      </w:tr>
      <w:tr w:rsidR="00BD1874" w14:paraId="33FACB91" w14:textId="77777777" w:rsidTr="00645B93">
        <w:trPr>
          <w:trHeight w:val="285"/>
        </w:trPr>
        <w:tc>
          <w:tcPr>
            <w:tcW w:w="4004" w:type="dxa"/>
            <w:tcBorders>
              <w:top w:val="single" w:sz="6" w:space="0" w:color="auto"/>
              <w:bottom w:val="single" w:sz="6" w:space="0" w:color="auto"/>
              <w:right w:val="single" w:sz="6" w:space="0" w:color="auto"/>
            </w:tcBorders>
          </w:tcPr>
          <w:p w14:paraId="59C2D430" w14:textId="57503A9F" w:rsidR="00BD1874" w:rsidRDefault="00BD1874" w:rsidP="00BD1874">
            <w:pPr>
              <w:rPr>
                <w:color w:val="000000" w:themeColor="text1"/>
                <w:lang w:val="en-US"/>
              </w:rPr>
            </w:pPr>
            <w:r>
              <w:rPr>
                <w:color w:val="000000" w:themeColor="text1"/>
                <w:lang w:val="en-US"/>
              </w:rPr>
              <w:t>Waimate District</w:t>
            </w:r>
          </w:p>
        </w:tc>
        <w:tc>
          <w:tcPr>
            <w:tcW w:w="1568" w:type="dxa"/>
            <w:tcBorders>
              <w:top w:val="single" w:sz="6" w:space="0" w:color="auto"/>
              <w:left w:val="single" w:sz="6" w:space="0" w:color="auto"/>
              <w:bottom w:val="single" w:sz="6" w:space="0" w:color="auto"/>
              <w:right w:val="single" w:sz="6" w:space="0" w:color="auto"/>
            </w:tcBorders>
          </w:tcPr>
          <w:p w14:paraId="225324C8" w14:textId="0A1DDA3C" w:rsidR="00BD1874" w:rsidRDefault="00BD1874" w:rsidP="00BD1874">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6AB6E359" w14:textId="0F2109EE" w:rsidR="00BD1874" w:rsidRDefault="00BD1874" w:rsidP="00BD1874">
            <w:pPr>
              <w:rPr>
                <w:color w:val="000000" w:themeColor="text1"/>
                <w:lang w:val="en-US"/>
              </w:rPr>
            </w:pPr>
            <w:r>
              <w:rPr>
                <w:color w:val="000000" w:themeColor="text1"/>
                <w:lang w:val="en-US"/>
              </w:rPr>
              <w:t>94.97</w:t>
            </w:r>
            <w:r>
              <w:rPr>
                <w:color w:val="000000" w:themeColor="text1"/>
                <w:lang w:val="en-US"/>
              </w:rPr>
              <w:tab/>
            </w:r>
          </w:p>
        </w:tc>
        <w:tc>
          <w:tcPr>
            <w:tcW w:w="1882" w:type="dxa"/>
            <w:tcBorders>
              <w:top w:val="single" w:sz="6" w:space="0" w:color="auto"/>
              <w:left w:val="single" w:sz="6" w:space="0" w:color="auto"/>
              <w:bottom w:val="single" w:sz="6" w:space="0" w:color="auto"/>
            </w:tcBorders>
          </w:tcPr>
          <w:p w14:paraId="053CAD3F" w14:textId="2449C4A2" w:rsidR="00BD1874" w:rsidRDefault="00BD1874" w:rsidP="00BD1874">
            <w:pPr>
              <w:rPr>
                <w:color w:val="000000" w:themeColor="text1"/>
                <w:lang w:val="en-US"/>
              </w:rPr>
            </w:pPr>
            <w:r>
              <w:rPr>
                <w:color w:val="000000" w:themeColor="text1"/>
                <w:lang w:val="en-US"/>
              </w:rPr>
              <w:t>109.44</w:t>
            </w:r>
          </w:p>
        </w:tc>
      </w:tr>
      <w:tr w:rsidR="00BD1874" w14:paraId="116314E4" w14:textId="77777777" w:rsidTr="00645B93">
        <w:trPr>
          <w:trHeight w:val="305"/>
        </w:trPr>
        <w:tc>
          <w:tcPr>
            <w:tcW w:w="4004" w:type="dxa"/>
            <w:tcBorders>
              <w:top w:val="single" w:sz="6" w:space="0" w:color="auto"/>
              <w:bottom w:val="single" w:sz="6" w:space="0" w:color="auto"/>
              <w:right w:val="single" w:sz="6" w:space="0" w:color="auto"/>
            </w:tcBorders>
          </w:tcPr>
          <w:p w14:paraId="37603FE2" w14:textId="3D0951D8" w:rsidR="00BD1874" w:rsidRDefault="00BD1874" w:rsidP="00BD1874">
            <w:pPr>
              <w:rPr>
                <w:color w:val="000000" w:themeColor="text1"/>
                <w:lang w:val="en-US"/>
              </w:rPr>
            </w:pPr>
            <w:r>
              <w:rPr>
                <w:color w:val="000000" w:themeColor="text1"/>
                <w:lang w:val="en-US"/>
              </w:rPr>
              <w:t>Waimakariri District</w:t>
            </w:r>
          </w:p>
        </w:tc>
        <w:tc>
          <w:tcPr>
            <w:tcW w:w="1568" w:type="dxa"/>
            <w:tcBorders>
              <w:top w:val="single" w:sz="6" w:space="0" w:color="auto"/>
              <w:left w:val="single" w:sz="6" w:space="0" w:color="auto"/>
              <w:bottom w:val="single" w:sz="6" w:space="0" w:color="auto"/>
              <w:right w:val="single" w:sz="6" w:space="0" w:color="auto"/>
            </w:tcBorders>
          </w:tcPr>
          <w:p w14:paraId="027FA283" w14:textId="6C4A0100" w:rsidR="00BD1874" w:rsidRDefault="00BD1874" w:rsidP="00BD1874">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758A3428" w14:textId="3EE21E4B" w:rsidR="00BD1874" w:rsidRDefault="00BD1874" w:rsidP="00BD1874">
            <w:pPr>
              <w:rPr>
                <w:color w:val="000000" w:themeColor="text1"/>
                <w:lang w:val="en-US"/>
              </w:rPr>
            </w:pPr>
            <w:r>
              <w:rPr>
                <w:color w:val="000000" w:themeColor="text1"/>
                <w:lang w:val="en-US"/>
              </w:rPr>
              <w:t>98.63</w:t>
            </w:r>
          </w:p>
        </w:tc>
        <w:tc>
          <w:tcPr>
            <w:tcW w:w="1882" w:type="dxa"/>
            <w:tcBorders>
              <w:top w:val="single" w:sz="6" w:space="0" w:color="auto"/>
              <w:left w:val="single" w:sz="6" w:space="0" w:color="auto"/>
              <w:bottom w:val="single" w:sz="6" w:space="0" w:color="auto"/>
            </w:tcBorders>
          </w:tcPr>
          <w:p w14:paraId="51FFE80E" w14:textId="4FC9ED1A" w:rsidR="00BD1874" w:rsidRDefault="00BD1874" w:rsidP="00BD1874">
            <w:pPr>
              <w:rPr>
                <w:color w:val="000000" w:themeColor="text1"/>
                <w:lang w:val="en-US"/>
              </w:rPr>
            </w:pPr>
            <w:r>
              <w:rPr>
                <w:color w:val="000000" w:themeColor="text1"/>
                <w:lang w:val="en-US"/>
              </w:rPr>
              <w:t>104.81</w:t>
            </w:r>
          </w:p>
        </w:tc>
      </w:tr>
      <w:tr w:rsidR="00BD1874" w14:paraId="0F42C4B3" w14:textId="77777777" w:rsidTr="00645B93">
        <w:trPr>
          <w:trHeight w:val="285"/>
        </w:trPr>
        <w:tc>
          <w:tcPr>
            <w:tcW w:w="4004" w:type="dxa"/>
            <w:tcBorders>
              <w:top w:val="single" w:sz="6" w:space="0" w:color="auto"/>
              <w:bottom w:val="single" w:sz="6" w:space="0" w:color="auto"/>
              <w:right w:val="single" w:sz="6" w:space="0" w:color="auto"/>
            </w:tcBorders>
          </w:tcPr>
          <w:p w14:paraId="21252DFF" w14:textId="2235A250" w:rsidR="00BD1874" w:rsidRDefault="00BD1874" w:rsidP="00BD1874">
            <w:pPr>
              <w:rPr>
                <w:color w:val="000000" w:themeColor="text1"/>
                <w:lang w:val="en-US"/>
              </w:rPr>
            </w:pPr>
            <w:r>
              <w:rPr>
                <w:color w:val="000000" w:themeColor="text1"/>
                <w:lang w:val="en-US"/>
              </w:rPr>
              <w:t>Timaru District</w:t>
            </w:r>
          </w:p>
        </w:tc>
        <w:tc>
          <w:tcPr>
            <w:tcW w:w="1568" w:type="dxa"/>
            <w:tcBorders>
              <w:top w:val="single" w:sz="6" w:space="0" w:color="auto"/>
              <w:left w:val="single" w:sz="6" w:space="0" w:color="auto"/>
              <w:bottom w:val="single" w:sz="6" w:space="0" w:color="auto"/>
              <w:right w:val="single" w:sz="6" w:space="0" w:color="auto"/>
            </w:tcBorders>
          </w:tcPr>
          <w:p w14:paraId="2A6247D6" w14:textId="7BA8FC0E" w:rsidR="00BD1874" w:rsidRDefault="00BD1874" w:rsidP="00BD1874">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176A9910" w14:textId="60FCFBC4" w:rsidR="00BD1874" w:rsidRDefault="00BD1874" w:rsidP="00BD1874">
            <w:pPr>
              <w:rPr>
                <w:color w:val="000000" w:themeColor="text1"/>
                <w:lang w:val="en-US"/>
              </w:rPr>
            </w:pPr>
            <w:r>
              <w:rPr>
                <w:color w:val="000000" w:themeColor="text1"/>
                <w:lang w:val="en-US"/>
              </w:rPr>
              <w:t>95.51</w:t>
            </w:r>
          </w:p>
        </w:tc>
        <w:tc>
          <w:tcPr>
            <w:tcW w:w="1882" w:type="dxa"/>
            <w:tcBorders>
              <w:top w:val="single" w:sz="6" w:space="0" w:color="auto"/>
              <w:left w:val="single" w:sz="6" w:space="0" w:color="auto"/>
              <w:bottom w:val="single" w:sz="6" w:space="0" w:color="auto"/>
            </w:tcBorders>
          </w:tcPr>
          <w:p w14:paraId="6F7EB6C1" w14:textId="7304260B" w:rsidR="00BD1874" w:rsidRDefault="00BD1874" w:rsidP="00BD1874">
            <w:pPr>
              <w:rPr>
                <w:color w:val="000000" w:themeColor="text1"/>
                <w:lang w:val="en-US"/>
              </w:rPr>
            </w:pPr>
            <w:r>
              <w:rPr>
                <w:color w:val="000000" w:themeColor="text1"/>
                <w:lang w:val="en-US"/>
              </w:rPr>
              <w:t>NA</w:t>
            </w:r>
          </w:p>
        </w:tc>
      </w:tr>
      <w:tr w:rsidR="00BD1874" w14:paraId="01FB432F" w14:textId="77777777" w:rsidTr="00645B93">
        <w:trPr>
          <w:trHeight w:val="285"/>
        </w:trPr>
        <w:tc>
          <w:tcPr>
            <w:tcW w:w="4004" w:type="dxa"/>
            <w:tcBorders>
              <w:top w:val="single" w:sz="6" w:space="0" w:color="auto"/>
              <w:bottom w:val="single" w:sz="6" w:space="0" w:color="auto"/>
              <w:right w:val="single" w:sz="6" w:space="0" w:color="auto"/>
            </w:tcBorders>
          </w:tcPr>
          <w:p w14:paraId="0F80B9E8" w14:textId="49DFA460" w:rsidR="00BD1874" w:rsidRDefault="00BD1874" w:rsidP="00BD1874">
            <w:pPr>
              <w:rPr>
                <w:color w:val="000000" w:themeColor="text1"/>
                <w:lang w:val="en-US"/>
              </w:rPr>
            </w:pPr>
            <w:r>
              <w:rPr>
                <w:color w:val="000000" w:themeColor="text1"/>
                <w:lang w:val="en-US"/>
              </w:rPr>
              <w:t>Tasman District</w:t>
            </w:r>
          </w:p>
        </w:tc>
        <w:tc>
          <w:tcPr>
            <w:tcW w:w="1568" w:type="dxa"/>
            <w:tcBorders>
              <w:top w:val="single" w:sz="6" w:space="0" w:color="auto"/>
              <w:left w:val="single" w:sz="6" w:space="0" w:color="auto"/>
              <w:bottom w:val="single" w:sz="6" w:space="0" w:color="auto"/>
              <w:right w:val="single" w:sz="6" w:space="0" w:color="auto"/>
            </w:tcBorders>
          </w:tcPr>
          <w:p w14:paraId="5868B992" w14:textId="50AEA47D" w:rsidR="00BD1874" w:rsidRDefault="00BD1874" w:rsidP="00BD1874">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44A3EA09" w14:textId="2ACF01D4" w:rsidR="00BD1874" w:rsidRDefault="00BD1874" w:rsidP="00BD1874">
            <w:pPr>
              <w:rPr>
                <w:color w:val="000000" w:themeColor="text1"/>
                <w:lang w:val="en-US"/>
              </w:rPr>
            </w:pPr>
            <w:r>
              <w:rPr>
                <w:color w:val="000000" w:themeColor="text1"/>
                <w:lang w:val="en-US"/>
              </w:rPr>
              <w:t>117.23</w:t>
            </w:r>
          </w:p>
        </w:tc>
        <w:tc>
          <w:tcPr>
            <w:tcW w:w="1882" w:type="dxa"/>
            <w:tcBorders>
              <w:top w:val="single" w:sz="6" w:space="0" w:color="auto"/>
              <w:left w:val="single" w:sz="6" w:space="0" w:color="auto"/>
              <w:bottom w:val="single" w:sz="6" w:space="0" w:color="auto"/>
            </w:tcBorders>
          </w:tcPr>
          <w:p w14:paraId="5F56267F" w14:textId="4A89F1C1" w:rsidR="00BD1874" w:rsidRDefault="00BD1874" w:rsidP="00BD1874">
            <w:pPr>
              <w:rPr>
                <w:color w:val="000000" w:themeColor="text1"/>
                <w:lang w:val="en-US"/>
              </w:rPr>
            </w:pPr>
            <w:r>
              <w:rPr>
                <w:color w:val="000000" w:themeColor="text1"/>
                <w:lang w:val="en-US"/>
              </w:rPr>
              <w:t>NA</w:t>
            </w:r>
          </w:p>
        </w:tc>
      </w:tr>
      <w:tr w:rsidR="00BD1874" w14:paraId="6091CE93" w14:textId="77777777" w:rsidTr="00645B93">
        <w:trPr>
          <w:trHeight w:val="305"/>
        </w:trPr>
        <w:tc>
          <w:tcPr>
            <w:tcW w:w="4004" w:type="dxa"/>
            <w:tcBorders>
              <w:top w:val="single" w:sz="6" w:space="0" w:color="auto"/>
              <w:bottom w:val="single" w:sz="6" w:space="0" w:color="auto"/>
              <w:right w:val="single" w:sz="6" w:space="0" w:color="auto"/>
            </w:tcBorders>
          </w:tcPr>
          <w:p w14:paraId="1F4D0D9C" w14:textId="4C258157" w:rsidR="00BD1874" w:rsidRDefault="00BD1874" w:rsidP="00BD1874">
            <w:pPr>
              <w:rPr>
                <w:color w:val="000000" w:themeColor="text1"/>
                <w:lang w:val="en-US"/>
              </w:rPr>
            </w:pPr>
            <w:r>
              <w:rPr>
                <w:color w:val="000000" w:themeColor="text1"/>
                <w:lang w:val="en-US"/>
              </w:rPr>
              <w:t>Southland District</w:t>
            </w:r>
          </w:p>
        </w:tc>
        <w:tc>
          <w:tcPr>
            <w:tcW w:w="1568" w:type="dxa"/>
            <w:tcBorders>
              <w:top w:val="single" w:sz="6" w:space="0" w:color="auto"/>
              <w:left w:val="single" w:sz="6" w:space="0" w:color="auto"/>
              <w:bottom w:val="single" w:sz="6" w:space="0" w:color="auto"/>
              <w:right w:val="single" w:sz="6" w:space="0" w:color="auto"/>
            </w:tcBorders>
          </w:tcPr>
          <w:p w14:paraId="6A0FE19A" w14:textId="7609C335" w:rsidR="00BD1874" w:rsidRDefault="00BD1874" w:rsidP="00BD1874">
            <w:pPr>
              <w:rPr>
                <w:color w:val="000000" w:themeColor="text1"/>
                <w:lang w:val="en-US"/>
              </w:rPr>
            </w:pPr>
            <w:r>
              <w:rPr>
                <w:color w:val="000000" w:themeColor="text1"/>
                <w:lang w:val="en-US"/>
              </w:rPr>
              <w:t>96.91</w:t>
            </w:r>
          </w:p>
        </w:tc>
        <w:tc>
          <w:tcPr>
            <w:tcW w:w="1744" w:type="dxa"/>
            <w:tcBorders>
              <w:top w:val="single" w:sz="6" w:space="0" w:color="auto"/>
              <w:left w:val="single" w:sz="6" w:space="0" w:color="auto"/>
              <w:bottom w:val="single" w:sz="6" w:space="0" w:color="auto"/>
              <w:right w:val="single" w:sz="6" w:space="0" w:color="auto"/>
            </w:tcBorders>
          </w:tcPr>
          <w:p w14:paraId="7E4ED02C" w14:textId="1209E35A" w:rsidR="00BD1874" w:rsidRDefault="00BD1874" w:rsidP="00BD1874">
            <w:pPr>
              <w:rPr>
                <w:color w:val="000000" w:themeColor="text1"/>
                <w:lang w:val="en-US"/>
              </w:rPr>
            </w:pPr>
            <w:r>
              <w:rPr>
                <w:color w:val="000000" w:themeColor="text1"/>
                <w:lang w:val="en-US"/>
              </w:rPr>
              <w:t>101.87</w:t>
            </w:r>
          </w:p>
        </w:tc>
        <w:tc>
          <w:tcPr>
            <w:tcW w:w="1882" w:type="dxa"/>
            <w:tcBorders>
              <w:top w:val="single" w:sz="6" w:space="0" w:color="auto"/>
              <w:left w:val="single" w:sz="6" w:space="0" w:color="auto"/>
              <w:bottom w:val="single" w:sz="6" w:space="0" w:color="auto"/>
            </w:tcBorders>
          </w:tcPr>
          <w:p w14:paraId="30951229" w14:textId="12BC149A" w:rsidR="00BD1874" w:rsidRDefault="00BD1874" w:rsidP="00BD1874">
            <w:pPr>
              <w:rPr>
                <w:color w:val="000000" w:themeColor="text1"/>
                <w:lang w:val="en-US"/>
              </w:rPr>
            </w:pPr>
            <w:r>
              <w:rPr>
                <w:color w:val="000000" w:themeColor="text1"/>
                <w:lang w:val="en-US"/>
              </w:rPr>
              <w:t>115.32</w:t>
            </w:r>
          </w:p>
        </w:tc>
      </w:tr>
      <w:tr w:rsidR="00BD1874" w14:paraId="6ED14EF9" w14:textId="77777777" w:rsidTr="00645B93">
        <w:trPr>
          <w:trHeight w:val="285"/>
        </w:trPr>
        <w:tc>
          <w:tcPr>
            <w:tcW w:w="4004" w:type="dxa"/>
            <w:tcBorders>
              <w:top w:val="single" w:sz="6" w:space="0" w:color="auto"/>
              <w:bottom w:val="single" w:sz="6" w:space="0" w:color="auto"/>
              <w:right w:val="single" w:sz="6" w:space="0" w:color="auto"/>
            </w:tcBorders>
          </w:tcPr>
          <w:p w14:paraId="54AED2D0" w14:textId="7ACDE39B" w:rsidR="00BD1874" w:rsidRDefault="00BD1874" w:rsidP="00BD1874">
            <w:pPr>
              <w:rPr>
                <w:color w:val="000000" w:themeColor="text1"/>
                <w:lang w:val="en-US"/>
              </w:rPr>
            </w:pPr>
            <w:r>
              <w:rPr>
                <w:color w:val="000000" w:themeColor="text1"/>
                <w:lang w:val="en-US"/>
              </w:rPr>
              <w:t>Selwyn District</w:t>
            </w:r>
          </w:p>
        </w:tc>
        <w:tc>
          <w:tcPr>
            <w:tcW w:w="1568" w:type="dxa"/>
            <w:tcBorders>
              <w:top w:val="single" w:sz="6" w:space="0" w:color="auto"/>
              <w:left w:val="single" w:sz="6" w:space="0" w:color="auto"/>
              <w:bottom w:val="single" w:sz="6" w:space="0" w:color="auto"/>
              <w:right w:val="single" w:sz="6" w:space="0" w:color="auto"/>
            </w:tcBorders>
          </w:tcPr>
          <w:p w14:paraId="51DA679A" w14:textId="438EBA7A" w:rsidR="00BD1874" w:rsidRDefault="00BD1874" w:rsidP="00BD1874">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42C56A51" w14:textId="41CDFD3A" w:rsidR="00BD1874" w:rsidRDefault="00BD1874" w:rsidP="00BD1874">
            <w:pPr>
              <w:rPr>
                <w:color w:val="000000" w:themeColor="text1"/>
                <w:lang w:val="en-US"/>
              </w:rPr>
            </w:pPr>
            <w:r>
              <w:rPr>
                <w:color w:val="000000" w:themeColor="text1"/>
                <w:lang w:val="en-US"/>
              </w:rPr>
              <w:t>NA</w:t>
            </w:r>
          </w:p>
        </w:tc>
        <w:tc>
          <w:tcPr>
            <w:tcW w:w="1882" w:type="dxa"/>
            <w:tcBorders>
              <w:top w:val="single" w:sz="6" w:space="0" w:color="auto"/>
              <w:left w:val="single" w:sz="6" w:space="0" w:color="auto"/>
              <w:bottom w:val="single" w:sz="6" w:space="0" w:color="auto"/>
            </w:tcBorders>
          </w:tcPr>
          <w:p w14:paraId="2A8C8A6E" w14:textId="24BBD210" w:rsidR="00BD1874" w:rsidRDefault="00BD1874" w:rsidP="00BD1874">
            <w:pPr>
              <w:rPr>
                <w:color w:val="000000" w:themeColor="text1"/>
                <w:lang w:val="en-US"/>
              </w:rPr>
            </w:pPr>
            <w:r>
              <w:rPr>
                <w:color w:val="000000" w:themeColor="text1"/>
                <w:lang w:val="en-US"/>
              </w:rPr>
              <w:t>NA</w:t>
            </w:r>
          </w:p>
        </w:tc>
      </w:tr>
      <w:tr w:rsidR="00BD1874" w14:paraId="7F379B73" w14:textId="77777777" w:rsidTr="00645B93">
        <w:trPr>
          <w:trHeight w:val="285"/>
        </w:trPr>
        <w:tc>
          <w:tcPr>
            <w:tcW w:w="4004" w:type="dxa"/>
            <w:tcBorders>
              <w:top w:val="single" w:sz="6" w:space="0" w:color="auto"/>
              <w:bottom w:val="single" w:sz="6" w:space="0" w:color="auto"/>
              <w:right w:val="single" w:sz="6" w:space="0" w:color="auto"/>
            </w:tcBorders>
          </w:tcPr>
          <w:p w14:paraId="6ECF864A" w14:textId="60E72A5E" w:rsidR="00BD1874" w:rsidRDefault="00BD1874" w:rsidP="00BD1874">
            <w:pPr>
              <w:rPr>
                <w:color w:val="000000" w:themeColor="text1"/>
                <w:lang w:val="en-US"/>
              </w:rPr>
            </w:pPr>
            <w:r>
              <w:rPr>
                <w:color w:val="000000" w:themeColor="text1"/>
                <w:lang w:val="en-US"/>
              </w:rPr>
              <w:t>Queenstown-Lakes District</w:t>
            </w:r>
          </w:p>
        </w:tc>
        <w:tc>
          <w:tcPr>
            <w:tcW w:w="1568" w:type="dxa"/>
            <w:tcBorders>
              <w:top w:val="single" w:sz="6" w:space="0" w:color="auto"/>
              <w:left w:val="single" w:sz="6" w:space="0" w:color="auto"/>
              <w:bottom w:val="single" w:sz="6" w:space="0" w:color="auto"/>
              <w:right w:val="single" w:sz="6" w:space="0" w:color="auto"/>
            </w:tcBorders>
          </w:tcPr>
          <w:p w14:paraId="2A5FAB03" w14:textId="5E24D009" w:rsidR="00BD1874" w:rsidRDefault="00BD1874" w:rsidP="00BD1874">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33305BBF" w14:textId="5B3AED01" w:rsidR="00BD1874" w:rsidRDefault="00BD1874" w:rsidP="00BD1874">
            <w:pPr>
              <w:rPr>
                <w:color w:val="000000" w:themeColor="text1"/>
                <w:lang w:val="en-US"/>
              </w:rPr>
            </w:pPr>
            <w:r>
              <w:rPr>
                <w:color w:val="000000" w:themeColor="text1"/>
                <w:lang w:val="en-US"/>
              </w:rPr>
              <w:t>88.27</w:t>
            </w:r>
          </w:p>
        </w:tc>
        <w:tc>
          <w:tcPr>
            <w:tcW w:w="1882" w:type="dxa"/>
            <w:tcBorders>
              <w:top w:val="single" w:sz="6" w:space="0" w:color="auto"/>
              <w:left w:val="single" w:sz="6" w:space="0" w:color="auto"/>
              <w:bottom w:val="single" w:sz="6" w:space="0" w:color="auto"/>
            </w:tcBorders>
          </w:tcPr>
          <w:p w14:paraId="613C7711" w14:textId="13579303" w:rsidR="00BD1874" w:rsidRDefault="00BD1874" w:rsidP="00BD1874">
            <w:pPr>
              <w:rPr>
                <w:color w:val="000000" w:themeColor="text1"/>
                <w:lang w:val="en-US"/>
              </w:rPr>
            </w:pPr>
            <w:r>
              <w:rPr>
                <w:color w:val="000000" w:themeColor="text1"/>
                <w:lang w:val="en-US"/>
              </w:rPr>
              <w:t>96.25</w:t>
            </w:r>
          </w:p>
        </w:tc>
      </w:tr>
      <w:tr w:rsidR="00BD1874" w14:paraId="45BEA891" w14:textId="77777777" w:rsidTr="00645B93">
        <w:trPr>
          <w:trHeight w:val="285"/>
        </w:trPr>
        <w:tc>
          <w:tcPr>
            <w:tcW w:w="4004" w:type="dxa"/>
            <w:tcBorders>
              <w:top w:val="single" w:sz="6" w:space="0" w:color="auto"/>
              <w:bottom w:val="single" w:sz="6" w:space="0" w:color="auto"/>
              <w:right w:val="single" w:sz="6" w:space="0" w:color="auto"/>
            </w:tcBorders>
          </w:tcPr>
          <w:p w14:paraId="1353764D" w14:textId="6327BD4F" w:rsidR="00BD1874" w:rsidRDefault="00BD1874" w:rsidP="00BD1874">
            <w:pPr>
              <w:rPr>
                <w:color w:val="000000" w:themeColor="text1"/>
                <w:lang w:val="en-US"/>
              </w:rPr>
            </w:pPr>
            <w:r>
              <w:rPr>
                <w:color w:val="000000" w:themeColor="text1"/>
                <w:lang w:val="en-US"/>
              </w:rPr>
              <w:t>Marlborough District</w:t>
            </w:r>
          </w:p>
        </w:tc>
        <w:tc>
          <w:tcPr>
            <w:tcW w:w="1568" w:type="dxa"/>
            <w:tcBorders>
              <w:top w:val="single" w:sz="6" w:space="0" w:color="auto"/>
              <w:left w:val="single" w:sz="6" w:space="0" w:color="auto"/>
              <w:bottom w:val="single" w:sz="6" w:space="0" w:color="auto"/>
              <w:right w:val="single" w:sz="6" w:space="0" w:color="auto"/>
            </w:tcBorders>
          </w:tcPr>
          <w:p w14:paraId="03EE34A1" w14:textId="686093A1" w:rsidR="00BD1874" w:rsidRDefault="00BD1874" w:rsidP="00BD1874">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6465B0FE" w14:textId="0097A028" w:rsidR="00BD1874" w:rsidRDefault="00BD1874" w:rsidP="00BD1874">
            <w:pPr>
              <w:rPr>
                <w:color w:val="000000" w:themeColor="text1"/>
                <w:lang w:val="en-US"/>
              </w:rPr>
            </w:pPr>
            <w:r>
              <w:rPr>
                <w:color w:val="000000" w:themeColor="text1"/>
                <w:lang w:val="en-US"/>
              </w:rPr>
              <w:t>NA</w:t>
            </w:r>
          </w:p>
        </w:tc>
        <w:tc>
          <w:tcPr>
            <w:tcW w:w="1882" w:type="dxa"/>
            <w:tcBorders>
              <w:top w:val="single" w:sz="6" w:space="0" w:color="auto"/>
              <w:left w:val="single" w:sz="6" w:space="0" w:color="auto"/>
              <w:bottom w:val="single" w:sz="6" w:space="0" w:color="auto"/>
            </w:tcBorders>
          </w:tcPr>
          <w:p w14:paraId="2C43FC6E" w14:textId="7CDB4624" w:rsidR="00BD1874" w:rsidRDefault="00BD1874" w:rsidP="00BD1874">
            <w:pPr>
              <w:rPr>
                <w:color w:val="000000" w:themeColor="text1"/>
                <w:lang w:val="en-US"/>
              </w:rPr>
            </w:pPr>
            <w:r>
              <w:rPr>
                <w:color w:val="000000" w:themeColor="text1"/>
                <w:lang w:val="en-US"/>
              </w:rPr>
              <w:t>NA</w:t>
            </w:r>
          </w:p>
        </w:tc>
      </w:tr>
      <w:tr w:rsidR="00BD1874" w14:paraId="72078811" w14:textId="77777777" w:rsidTr="00645B93">
        <w:trPr>
          <w:trHeight w:val="305"/>
        </w:trPr>
        <w:tc>
          <w:tcPr>
            <w:tcW w:w="4004" w:type="dxa"/>
            <w:tcBorders>
              <w:top w:val="single" w:sz="6" w:space="0" w:color="auto"/>
              <w:bottom w:val="single" w:sz="6" w:space="0" w:color="auto"/>
              <w:right w:val="single" w:sz="6" w:space="0" w:color="auto"/>
            </w:tcBorders>
          </w:tcPr>
          <w:p w14:paraId="3E55A309" w14:textId="59DB8FD0" w:rsidR="00BD1874" w:rsidRDefault="00BD1874" w:rsidP="00BD1874">
            <w:pPr>
              <w:rPr>
                <w:color w:val="000000" w:themeColor="text1"/>
                <w:lang w:val="en-US"/>
              </w:rPr>
            </w:pPr>
            <w:r>
              <w:rPr>
                <w:color w:val="000000" w:themeColor="text1"/>
                <w:lang w:val="en-US"/>
              </w:rPr>
              <w:t>Mackenzie District</w:t>
            </w:r>
          </w:p>
        </w:tc>
        <w:tc>
          <w:tcPr>
            <w:tcW w:w="1568" w:type="dxa"/>
            <w:tcBorders>
              <w:top w:val="single" w:sz="6" w:space="0" w:color="auto"/>
              <w:left w:val="single" w:sz="6" w:space="0" w:color="auto"/>
              <w:bottom w:val="single" w:sz="6" w:space="0" w:color="auto"/>
              <w:right w:val="single" w:sz="6" w:space="0" w:color="auto"/>
            </w:tcBorders>
          </w:tcPr>
          <w:p w14:paraId="765C5A5F" w14:textId="24346A5A" w:rsidR="00BD1874" w:rsidRDefault="00BD1874" w:rsidP="00BD1874">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5003E100" w14:textId="0DE961D3" w:rsidR="00BD1874" w:rsidRDefault="00BD1874" w:rsidP="00BD1874">
            <w:pPr>
              <w:rPr>
                <w:color w:val="000000" w:themeColor="text1"/>
                <w:lang w:val="en-US"/>
              </w:rPr>
            </w:pPr>
            <w:r>
              <w:rPr>
                <w:color w:val="000000" w:themeColor="text1"/>
                <w:lang w:val="en-US"/>
              </w:rPr>
              <w:t>89.48</w:t>
            </w:r>
          </w:p>
        </w:tc>
        <w:tc>
          <w:tcPr>
            <w:tcW w:w="1882" w:type="dxa"/>
            <w:tcBorders>
              <w:top w:val="single" w:sz="6" w:space="0" w:color="auto"/>
              <w:left w:val="single" w:sz="6" w:space="0" w:color="auto"/>
              <w:bottom w:val="single" w:sz="6" w:space="0" w:color="auto"/>
            </w:tcBorders>
          </w:tcPr>
          <w:p w14:paraId="3FDBABD2" w14:textId="37F675A0" w:rsidR="00BD1874" w:rsidRDefault="005B620D" w:rsidP="00BD1874">
            <w:pPr>
              <w:rPr>
                <w:color w:val="000000" w:themeColor="text1"/>
                <w:lang w:val="en-US"/>
              </w:rPr>
            </w:pPr>
            <w:r>
              <w:rPr>
                <w:color w:val="000000" w:themeColor="text1"/>
                <w:lang w:val="en-US"/>
              </w:rPr>
              <w:t>108.38</w:t>
            </w:r>
          </w:p>
        </w:tc>
      </w:tr>
      <w:tr w:rsidR="00BD1874" w14:paraId="7DC46107" w14:textId="77777777" w:rsidTr="00645B93">
        <w:trPr>
          <w:trHeight w:val="285"/>
        </w:trPr>
        <w:tc>
          <w:tcPr>
            <w:tcW w:w="4004" w:type="dxa"/>
            <w:tcBorders>
              <w:top w:val="single" w:sz="6" w:space="0" w:color="auto"/>
              <w:bottom w:val="single" w:sz="6" w:space="0" w:color="auto"/>
              <w:right w:val="single" w:sz="6" w:space="0" w:color="auto"/>
            </w:tcBorders>
          </w:tcPr>
          <w:p w14:paraId="25FBDE93" w14:textId="2AE09717" w:rsidR="00BD1874" w:rsidRDefault="00BD1874" w:rsidP="00BD1874">
            <w:pPr>
              <w:rPr>
                <w:color w:val="000000" w:themeColor="text1"/>
                <w:lang w:val="en-US"/>
              </w:rPr>
            </w:pPr>
            <w:r>
              <w:rPr>
                <w:color w:val="000000" w:themeColor="text1"/>
                <w:lang w:val="en-US"/>
              </w:rPr>
              <w:t>Kaikoura District</w:t>
            </w:r>
          </w:p>
        </w:tc>
        <w:tc>
          <w:tcPr>
            <w:tcW w:w="1568" w:type="dxa"/>
            <w:tcBorders>
              <w:top w:val="single" w:sz="6" w:space="0" w:color="auto"/>
              <w:left w:val="single" w:sz="6" w:space="0" w:color="auto"/>
              <w:bottom w:val="single" w:sz="6" w:space="0" w:color="auto"/>
              <w:right w:val="single" w:sz="6" w:space="0" w:color="auto"/>
            </w:tcBorders>
          </w:tcPr>
          <w:p w14:paraId="4A96848B" w14:textId="1ECA3946" w:rsidR="00BD1874" w:rsidRDefault="005B620D" w:rsidP="00BD1874">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0B67ABDB" w14:textId="68A82CA0" w:rsidR="00BD1874" w:rsidRDefault="005B620D" w:rsidP="00BD1874">
            <w:pPr>
              <w:rPr>
                <w:color w:val="000000" w:themeColor="text1"/>
                <w:lang w:val="en-US"/>
              </w:rPr>
            </w:pPr>
            <w:r>
              <w:rPr>
                <w:color w:val="000000" w:themeColor="text1"/>
                <w:lang w:val="en-US"/>
              </w:rPr>
              <w:t>NA</w:t>
            </w:r>
          </w:p>
        </w:tc>
        <w:tc>
          <w:tcPr>
            <w:tcW w:w="1882" w:type="dxa"/>
            <w:tcBorders>
              <w:top w:val="single" w:sz="6" w:space="0" w:color="auto"/>
              <w:left w:val="single" w:sz="6" w:space="0" w:color="auto"/>
              <w:bottom w:val="single" w:sz="6" w:space="0" w:color="auto"/>
            </w:tcBorders>
          </w:tcPr>
          <w:p w14:paraId="23389E7E" w14:textId="1A874495" w:rsidR="00BD1874" w:rsidRDefault="005B620D" w:rsidP="00BD1874">
            <w:pPr>
              <w:rPr>
                <w:color w:val="000000" w:themeColor="text1"/>
                <w:lang w:val="en-US"/>
              </w:rPr>
            </w:pPr>
            <w:r>
              <w:rPr>
                <w:color w:val="000000" w:themeColor="text1"/>
                <w:lang w:val="en-US"/>
              </w:rPr>
              <w:t>NA</w:t>
            </w:r>
          </w:p>
        </w:tc>
      </w:tr>
      <w:tr w:rsidR="00BD1874" w14:paraId="02EBD7BB" w14:textId="77777777" w:rsidTr="00645B93">
        <w:trPr>
          <w:trHeight w:val="285"/>
        </w:trPr>
        <w:tc>
          <w:tcPr>
            <w:tcW w:w="4004" w:type="dxa"/>
            <w:tcBorders>
              <w:top w:val="single" w:sz="6" w:space="0" w:color="auto"/>
              <w:bottom w:val="single" w:sz="6" w:space="0" w:color="auto"/>
              <w:right w:val="single" w:sz="6" w:space="0" w:color="auto"/>
            </w:tcBorders>
          </w:tcPr>
          <w:p w14:paraId="71CB48C5" w14:textId="5638B73A" w:rsidR="00BD1874" w:rsidRDefault="00BD1874" w:rsidP="00BD1874">
            <w:pPr>
              <w:rPr>
                <w:color w:val="000000" w:themeColor="text1"/>
                <w:lang w:val="en-US"/>
              </w:rPr>
            </w:pPr>
            <w:r>
              <w:rPr>
                <w:color w:val="000000" w:themeColor="text1"/>
                <w:lang w:val="en-US"/>
              </w:rPr>
              <w:t>Invercargill City</w:t>
            </w:r>
          </w:p>
        </w:tc>
        <w:tc>
          <w:tcPr>
            <w:tcW w:w="1568" w:type="dxa"/>
            <w:tcBorders>
              <w:top w:val="single" w:sz="6" w:space="0" w:color="auto"/>
              <w:left w:val="single" w:sz="6" w:space="0" w:color="auto"/>
              <w:bottom w:val="single" w:sz="6" w:space="0" w:color="auto"/>
              <w:right w:val="single" w:sz="6" w:space="0" w:color="auto"/>
            </w:tcBorders>
          </w:tcPr>
          <w:p w14:paraId="1EB397E4" w14:textId="18A60B98" w:rsidR="00BD1874" w:rsidRDefault="005B620D" w:rsidP="00BD1874">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6AD6D613" w14:textId="61D245C1" w:rsidR="00BD1874" w:rsidRDefault="005B620D" w:rsidP="00BD1874">
            <w:pPr>
              <w:rPr>
                <w:color w:val="000000" w:themeColor="text1"/>
                <w:lang w:val="en-US"/>
              </w:rPr>
            </w:pPr>
            <w:r>
              <w:rPr>
                <w:color w:val="000000" w:themeColor="text1"/>
                <w:lang w:val="en-US"/>
              </w:rPr>
              <w:t>NA</w:t>
            </w:r>
          </w:p>
        </w:tc>
        <w:tc>
          <w:tcPr>
            <w:tcW w:w="1882" w:type="dxa"/>
            <w:tcBorders>
              <w:top w:val="single" w:sz="6" w:space="0" w:color="auto"/>
              <w:left w:val="single" w:sz="6" w:space="0" w:color="auto"/>
              <w:bottom w:val="single" w:sz="6" w:space="0" w:color="auto"/>
            </w:tcBorders>
          </w:tcPr>
          <w:p w14:paraId="4EDF8559" w14:textId="36B8915E" w:rsidR="00BD1874" w:rsidRDefault="005B620D" w:rsidP="00BD1874">
            <w:pPr>
              <w:rPr>
                <w:color w:val="000000" w:themeColor="text1"/>
                <w:lang w:val="en-US"/>
              </w:rPr>
            </w:pPr>
            <w:r>
              <w:rPr>
                <w:color w:val="000000" w:themeColor="text1"/>
                <w:lang w:val="en-US"/>
              </w:rPr>
              <w:t>NA</w:t>
            </w:r>
          </w:p>
        </w:tc>
      </w:tr>
      <w:tr w:rsidR="00BD1874" w14:paraId="0AF9E43B" w14:textId="77777777" w:rsidTr="00645B93">
        <w:trPr>
          <w:trHeight w:val="305"/>
        </w:trPr>
        <w:tc>
          <w:tcPr>
            <w:tcW w:w="4004" w:type="dxa"/>
            <w:tcBorders>
              <w:top w:val="single" w:sz="6" w:space="0" w:color="auto"/>
              <w:bottom w:val="single" w:sz="6" w:space="0" w:color="auto"/>
              <w:right w:val="single" w:sz="6" w:space="0" w:color="auto"/>
            </w:tcBorders>
          </w:tcPr>
          <w:p w14:paraId="2CBFDB01" w14:textId="32EE100E" w:rsidR="00BD1874" w:rsidRDefault="00BD1874" w:rsidP="00BD1874">
            <w:pPr>
              <w:rPr>
                <w:color w:val="000000" w:themeColor="text1"/>
                <w:lang w:val="en-US"/>
              </w:rPr>
            </w:pPr>
            <w:r>
              <w:rPr>
                <w:color w:val="000000" w:themeColor="text1"/>
                <w:lang w:val="en-US"/>
              </w:rPr>
              <w:t>Hurunui District</w:t>
            </w:r>
          </w:p>
        </w:tc>
        <w:tc>
          <w:tcPr>
            <w:tcW w:w="1568" w:type="dxa"/>
            <w:tcBorders>
              <w:top w:val="single" w:sz="6" w:space="0" w:color="auto"/>
              <w:left w:val="single" w:sz="6" w:space="0" w:color="auto"/>
              <w:bottom w:val="single" w:sz="6" w:space="0" w:color="auto"/>
              <w:right w:val="single" w:sz="6" w:space="0" w:color="auto"/>
            </w:tcBorders>
          </w:tcPr>
          <w:p w14:paraId="57418670" w14:textId="62262E60" w:rsidR="00BD1874" w:rsidRDefault="005B620D" w:rsidP="00BD1874">
            <w:pPr>
              <w:rPr>
                <w:color w:val="000000" w:themeColor="text1"/>
                <w:lang w:val="en-US"/>
              </w:rPr>
            </w:pPr>
            <w:r>
              <w:rPr>
                <w:color w:val="000000" w:themeColor="text1"/>
                <w:lang w:val="en-US"/>
              </w:rPr>
              <w:t>100.07</w:t>
            </w:r>
          </w:p>
        </w:tc>
        <w:tc>
          <w:tcPr>
            <w:tcW w:w="1744" w:type="dxa"/>
            <w:tcBorders>
              <w:top w:val="single" w:sz="6" w:space="0" w:color="auto"/>
              <w:left w:val="single" w:sz="6" w:space="0" w:color="auto"/>
              <w:bottom w:val="single" w:sz="6" w:space="0" w:color="auto"/>
              <w:right w:val="single" w:sz="6" w:space="0" w:color="auto"/>
            </w:tcBorders>
          </w:tcPr>
          <w:p w14:paraId="07CF55B3" w14:textId="362D9CA1" w:rsidR="00BD1874" w:rsidRDefault="005B620D" w:rsidP="00BD1874">
            <w:pPr>
              <w:rPr>
                <w:color w:val="000000" w:themeColor="text1"/>
                <w:lang w:val="en-US"/>
              </w:rPr>
            </w:pPr>
            <w:r>
              <w:rPr>
                <w:color w:val="000000" w:themeColor="text1"/>
                <w:lang w:val="en-US"/>
              </w:rPr>
              <w:t>119.22</w:t>
            </w:r>
          </w:p>
        </w:tc>
        <w:tc>
          <w:tcPr>
            <w:tcW w:w="1882" w:type="dxa"/>
            <w:tcBorders>
              <w:top w:val="single" w:sz="6" w:space="0" w:color="auto"/>
              <w:left w:val="single" w:sz="6" w:space="0" w:color="auto"/>
              <w:bottom w:val="single" w:sz="6" w:space="0" w:color="auto"/>
            </w:tcBorders>
          </w:tcPr>
          <w:p w14:paraId="381773CB" w14:textId="0CB70C2D" w:rsidR="00BD1874" w:rsidRDefault="005B620D" w:rsidP="00BD1874">
            <w:pPr>
              <w:rPr>
                <w:color w:val="000000" w:themeColor="text1"/>
                <w:lang w:val="en-US"/>
              </w:rPr>
            </w:pPr>
            <w:r>
              <w:rPr>
                <w:color w:val="000000" w:themeColor="text1"/>
                <w:lang w:val="en-US"/>
              </w:rPr>
              <w:t>NA</w:t>
            </w:r>
          </w:p>
        </w:tc>
      </w:tr>
      <w:tr w:rsidR="00BD1874" w14:paraId="72DA2E4D" w14:textId="77777777" w:rsidTr="00645B93">
        <w:trPr>
          <w:trHeight w:val="285"/>
        </w:trPr>
        <w:tc>
          <w:tcPr>
            <w:tcW w:w="4004" w:type="dxa"/>
            <w:tcBorders>
              <w:top w:val="single" w:sz="6" w:space="0" w:color="auto"/>
              <w:bottom w:val="single" w:sz="6" w:space="0" w:color="auto"/>
              <w:right w:val="single" w:sz="6" w:space="0" w:color="auto"/>
            </w:tcBorders>
          </w:tcPr>
          <w:p w14:paraId="2FB56A73" w14:textId="553EA31A" w:rsidR="00BD1874" w:rsidRDefault="00BD1874" w:rsidP="00BD1874">
            <w:pPr>
              <w:rPr>
                <w:color w:val="000000" w:themeColor="text1"/>
                <w:lang w:val="en-US"/>
              </w:rPr>
            </w:pPr>
            <w:r>
              <w:rPr>
                <w:color w:val="000000" w:themeColor="text1"/>
                <w:lang w:val="en-US"/>
              </w:rPr>
              <w:t>Grey District</w:t>
            </w:r>
          </w:p>
        </w:tc>
        <w:tc>
          <w:tcPr>
            <w:tcW w:w="1568" w:type="dxa"/>
            <w:tcBorders>
              <w:top w:val="single" w:sz="6" w:space="0" w:color="auto"/>
              <w:left w:val="single" w:sz="6" w:space="0" w:color="auto"/>
              <w:bottom w:val="single" w:sz="6" w:space="0" w:color="auto"/>
              <w:right w:val="single" w:sz="6" w:space="0" w:color="auto"/>
            </w:tcBorders>
          </w:tcPr>
          <w:p w14:paraId="5DC18E66" w14:textId="0D1EE972" w:rsidR="00BD1874" w:rsidRDefault="005B620D" w:rsidP="00BD1874">
            <w:pPr>
              <w:rPr>
                <w:color w:val="000000" w:themeColor="text1"/>
                <w:lang w:val="en-US"/>
              </w:rPr>
            </w:pPr>
            <w:r>
              <w:rPr>
                <w:color w:val="000000" w:themeColor="text1"/>
                <w:lang w:val="en-US"/>
              </w:rPr>
              <w:t>111.11</w:t>
            </w:r>
          </w:p>
        </w:tc>
        <w:tc>
          <w:tcPr>
            <w:tcW w:w="1744" w:type="dxa"/>
            <w:tcBorders>
              <w:top w:val="single" w:sz="6" w:space="0" w:color="auto"/>
              <w:left w:val="single" w:sz="6" w:space="0" w:color="auto"/>
              <w:bottom w:val="single" w:sz="6" w:space="0" w:color="auto"/>
              <w:right w:val="single" w:sz="6" w:space="0" w:color="auto"/>
            </w:tcBorders>
          </w:tcPr>
          <w:p w14:paraId="6580C9FA" w14:textId="51E3C4D0" w:rsidR="00BD1874" w:rsidRDefault="005B620D" w:rsidP="00BD1874">
            <w:pPr>
              <w:rPr>
                <w:color w:val="000000" w:themeColor="text1"/>
                <w:lang w:val="en-US"/>
              </w:rPr>
            </w:pPr>
            <w:r>
              <w:rPr>
                <w:color w:val="000000" w:themeColor="text1"/>
                <w:lang w:val="en-US"/>
              </w:rPr>
              <w:t>133.86</w:t>
            </w:r>
          </w:p>
        </w:tc>
        <w:tc>
          <w:tcPr>
            <w:tcW w:w="1882" w:type="dxa"/>
            <w:tcBorders>
              <w:top w:val="single" w:sz="6" w:space="0" w:color="auto"/>
              <w:left w:val="single" w:sz="6" w:space="0" w:color="auto"/>
              <w:bottom w:val="single" w:sz="6" w:space="0" w:color="auto"/>
            </w:tcBorders>
          </w:tcPr>
          <w:p w14:paraId="18D15D61" w14:textId="723B833B" w:rsidR="00BD1874" w:rsidRDefault="00BD1874" w:rsidP="00BD1874">
            <w:pPr>
              <w:rPr>
                <w:color w:val="000000" w:themeColor="text1"/>
                <w:lang w:val="en-US"/>
              </w:rPr>
            </w:pPr>
            <w:r>
              <w:rPr>
                <w:color w:val="000000" w:themeColor="text1"/>
                <w:lang w:val="en-US"/>
              </w:rPr>
              <w:t>140.50</w:t>
            </w:r>
          </w:p>
        </w:tc>
      </w:tr>
      <w:tr w:rsidR="00BD1874" w14:paraId="3CBA8841" w14:textId="77777777" w:rsidTr="00645B93">
        <w:trPr>
          <w:trHeight w:val="285"/>
        </w:trPr>
        <w:tc>
          <w:tcPr>
            <w:tcW w:w="4004" w:type="dxa"/>
            <w:tcBorders>
              <w:top w:val="single" w:sz="6" w:space="0" w:color="auto"/>
              <w:bottom w:val="single" w:sz="6" w:space="0" w:color="auto"/>
              <w:right w:val="single" w:sz="6" w:space="0" w:color="auto"/>
            </w:tcBorders>
          </w:tcPr>
          <w:p w14:paraId="372F34C9" w14:textId="1555832F" w:rsidR="00BD1874" w:rsidRDefault="00BD1874" w:rsidP="00BD1874">
            <w:pPr>
              <w:rPr>
                <w:color w:val="000000" w:themeColor="text1"/>
                <w:lang w:val="en-US"/>
              </w:rPr>
            </w:pPr>
            <w:r>
              <w:rPr>
                <w:color w:val="000000" w:themeColor="text1"/>
                <w:lang w:val="en-US"/>
              </w:rPr>
              <w:t>Gore District</w:t>
            </w:r>
          </w:p>
        </w:tc>
        <w:tc>
          <w:tcPr>
            <w:tcW w:w="1568" w:type="dxa"/>
            <w:tcBorders>
              <w:top w:val="single" w:sz="6" w:space="0" w:color="auto"/>
              <w:left w:val="single" w:sz="6" w:space="0" w:color="auto"/>
              <w:bottom w:val="single" w:sz="6" w:space="0" w:color="auto"/>
              <w:right w:val="single" w:sz="6" w:space="0" w:color="auto"/>
            </w:tcBorders>
          </w:tcPr>
          <w:p w14:paraId="2908E3C1" w14:textId="351E5689" w:rsidR="00BD1874" w:rsidRDefault="005B620D" w:rsidP="00BD1874">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551629B2" w14:textId="2DB24417" w:rsidR="00BD1874" w:rsidRDefault="005B620D" w:rsidP="00BD1874">
            <w:pPr>
              <w:rPr>
                <w:color w:val="000000" w:themeColor="text1"/>
                <w:lang w:val="en-US"/>
              </w:rPr>
            </w:pPr>
            <w:r>
              <w:rPr>
                <w:color w:val="000000" w:themeColor="text1"/>
                <w:lang w:val="en-US"/>
              </w:rPr>
              <w:t>NA</w:t>
            </w:r>
          </w:p>
        </w:tc>
        <w:tc>
          <w:tcPr>
            <w:tcW w:w="1882" w:type="dxa"/>
            <w:tcBorders>
              <w:top w:val="single" w:sz="6" w:space="0" w:color="auto"/>
              <w:left w:val="single" w:sz="6" w:space="0" w:color="auto"/>
              <w:bottom w:val="single" w:sz="6" w:space="0" w:color="auto"/>
            </w:tcBorders>
          </w:tcPr>
          <w:p w14:paraId="4E4A6F8C" w14:textId="100C8289" w:rsidR="00BD1874" w:rsidRDefault="005B620D" w:rsidP="00BD1874">
            <w:pPr>
              <w:rPr>
                <w:color w:val="000000" w:themeColor="text1"/>
                <w:lang w:val="en-US"/>
              </w:rPr>
            </w:pPr>
            <w:r>
              <w:rPr>
                <w:color w:val="000000" w:themeColor="text1"/>
                <w:lang w:val="en-US"/>
              </w:rPr>
              <w:t>NA</w:t>
            </w:r>
          </w:p>
        </w:tc>
      </w:tr>
      <w:tr w:rsidR="00BD1874" w14:paraId="17FEB1A4" w14:textId="77777777" w:rsidTr="00645B93">
        <w:trPr>
          <w:trHeight w:val="285"/>
        </w:trPr>
        <w:tc>
          <w:tcPr>
            <w:tcW w:w="4004" w:type="dxa"/>
            <w:tcBorders>
              <w:top w:val="single" w:sz="6" w:space="0" w:color="auto"/>
              <w:bottom w:val="single" w:sz="6" w:space="0" w:color="auto"/>
              <w:right w:val="single" w:sz="6" w:space="0" w:color="auto"/>
            </w:tcBorders>
          </w:tcPr>
          <w:p w14:paraId="5B0A0811" w14:textId="1CD28B70" w:rsidR="00BD1874" w:rsidRDefault="00BD1874" w:rsidP="00BD1874">
            <w:pPr>
              <w:rPr>
                <w:color w:val="000000" w:themeColor="text1"/>
                <w:lang w:val="en-US"/>
              </w:rPr>
            </w:pPr>
            <w:r>
              <w:rPr>
                <w:color w:val="000000" w:themeColor="text1"/>
                <w:lang w:val="en-US"/>
              </w:rPr>
              <w:t>Dunedin City</w:t>
            </w:r>
          </w:p>
        </w:tc>
        <w:tc>
          <w:tcPr>
            <w:tcW w:w="1568" w:type="dxa"/>
            <w:tcBorders>
              <w:top w:val="single" w:sz="6" w:space="0" w:color="auto"/>
              <w:left w:val="single" w:sz="6" w:space="0" w:color="auto"/>
              <w:bottom w:val="single" w:sz="6" w:space="0" w:color="auto"/>
              <w:right w:val="single" w:sz="6" w:space="0" w:color="auto"/>
            </w:tcBorders>
          </w:tcPr>
          <w:p w14:paraId="2AE467F1" w14:textId="39467D18" w:rsidR="00BD1874" w:rsidRDefault="005B620D" w:rsidP="00BD1874">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17745462" w14:textId="247567F9" w:rsidR="00BD1874" w:rsidRDefault="005B620D" w:rsidP="00BD1874">
            <w:pPr>
              <w:rPr>
                <w:color w:val="000000" w:themeColor="text1"/>
                <w:lang w:val="en-US"/>
              </w:rPr>
            </w:pPr>
            <w:r>
              <w:rPr>
                <w:color w:val="000000" w:themeColor="text1"/>
                <w:lang w:val="en-US"/>
              </w:rPr>
              <w:t>NA</w:t>
            </w:r>
          </w:p>
        </w:tc>
        <w:tc>
          <w:tcPr>
            <w:tcW w:w="1882" w:type="dxa"/>
            <w:tcBorders>
              <w:top w:val="single" w:sz="6" w:space="0" w:color="auto"/>
              <w:left w:val="single" w:sz="6" w:space="0" w:color="auto"/>
              <w:bottom w:val="single" w:sz="6" w:space="0" w:color="auto"/>
            </w:tcBorders>
          </w:tcPr>
          <w:p w14:paraId="64D5E02F" w14:textId="0F45D5A7" w:rsidR="00BD1874" w:rsidRDefault="005B620D" w:rsidP="00BD1874">
            <w:pPr>
              <w:rPr>
                <w:color w:val="000000" w:themeColor="text1"/>
                <w:lang w:val="en-US"/>
              </w:rPr>
            </w:pPr>
            <w:r>
              <w:rPr>
                <w:color w:val="000000" w:themeColor="text1"/>
                <w:lang w:val="en-US"/>
              </w:rPr>
              <w:t>NA</w:t>
            </w:r>
          </w:p>
        </w:tc>
      </w:tr>
      <w:tr w:rsidR="00BD1874" w14:paraId="0AC80F67" w14:textId="77777777" w:rsidTr="00645B93">
        <w:trPr>
          <w:trHeight w:val="305"/>
        </w:trPr>
        <w:tc>
          <w:tcPr>
            <w:tcW w:w="4004" w:type="dxa"/>
            <w:tcBorders>
              <w:top w:val="single" w:sz="6" w:space="0" w:color="auto"/>
              <w:bottom w:val="single" w:sz="6" w:space="0" w:color="auto"/>
              <w:right w:val="single" w:sz="6" w:space="0" w:color="auto"/>
            </w:tcBorders>
          </w:tcPr>
          <w:p w14:paraId="20F18C6A" w14:textId="70AEB226" w:rsidR="00BD1874" w:rsidRDefault="00BD1874" w:rsidP="00BD1874">
            <w:pPr>
              <w:rPr>
                <w:color w:val="000000" w:themeColor="text1"/>
                <w:lang w:val="en-US"/>
              </w:rPr>
            </w:pPr>
            <w:r>
              <w:rPr>
                <w:color w:val="000000" w:themeColor="text1"/>
                <w:lang w:val="en-US"/>
              </w:rPr>
              <w:lastRenderedPageBreak/>
              <w:t>Clutha City</w:t>
            </w:r>
          </w:p>
        </w:tc>
        <w:tc>
          <w:tcPr>
            <w:tcW w:w="1568" w:type="dxa"/>
            <w:tcBorders>
              <w:top w:val="single" w:sz="6" w:space="0" w:color="auto"/>
              <w:left w:val="single" w:sz="6" w:space="0" w:color="auto"/>
              <w:bottom w:val="single" w:sz="6" w:space="0" w:color="auto"/>
              <w:right w:val="single" w:sz="6" w:space="0" w:color="auto"/>
            </w:tcBorders>
          </w:tcPr>
          <w:p w14:paraId="6DA47BF2" w14:textId="0C1002BC" w:rsidR="00BD1874" w:rsidRDefault="005B620D" w:rsidP="00BD1874">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5A33F104" w14:textId="4FEFEC35" w:rsidR="00BD1874" w:rsidRDefault="005B620D" w:rsidP="00BD1874">
            <w:pPr>
              <w:rPr>
                <w:color w:val="000000" w:themeColor="text1"/>
                <w:lang w:val="en-US"/>
              </w:rPr>
            </w:pPr>
            <w:r>
              <w:rPr>
                <w:color w:val="000000" w:themeColor="text1"/>
                <w:lang w:val="en-US"/>
              </w:rPr>
              <w:t>NA</w:t>
            </w:r>
          </w:p>
        </w:tc>
        <w:tc>
          <w:tcPr>
            <w:tcW w:w="1882" w:type="dxa"/>
            <w:tcBorders>
              <w:top w:val="single" w:sz="6" w:space="0" w:color="auto"/>
              <w:left w:val="single" w:sz="6" w:space="0" w:color="auto"/>
              <w:bottom w:val="single" w:sz="6" w:space="0" w:color="auto"/>
            </w:tcBorders>
          </w:tcPr>
          <w:p w14:paraId="15B21B45" w14:textId="01D7E453" w:rsidR="00BD1874" w:rsidRDefault="005B620D" w:rsidP="00BD1874">
            <w:pPr>
              <w:rPr>
                <w:color w:val="000000" w:themeColor="text1"/>
                <w:lang w:val="en-US"/>
              </w:rPr>
            </w:pPr>
            <w:r>
              <w:rPr>
                <w:color w:val="000000" w:themeColor="text1"/>
                <w:lang w:val="en-US"/>
              </w:rPr>
              <w:t>NA</w:t>
            </w:r>
          </w:p>
        </w:tc>
      </w:tr>
      <w:tr w:rsidR="00BD1874" w14:paraId="6B9F0FC1" w14:textId="77777777" w:rsidTr="00645B93">
        <w:trPr>
          <w:trHeight w:val="285"/>
        </w:trPr>
        <w:tc>
          <w:tcPr>
            <w:tcW w:w="4004" w:type="dxa"/>
            <w:tcBorders>
              <w:top w:val="single" w:sz="6" w:space="0" w:color="auto"/>
              <w:bottom w:val="single" w:sz="6" w:space="0" w:color="auto"/>
              <w:right w:val="single" w:sz="6" w:space="0" w:color="auto"/>
            </w:tcBorders>
          </w:tcPr>
          <w:p w14:paraId="38039E23" w14:textId="15223594" w:rsidR="00BD1874" w:rsidRDefault="00BD1874" w:rsidP="00BD1874">
            <w:pPr>
              <w:rPr>
                <w:color w:val="000000" w:themeColor="text1"/>
                <w:lang w:val="en-US"/>
              </w:rPr>
            </w:pPr>
            <w:r>
              <w:rPr>
                <w:color w:val="000000" w:themeColor="text1"/>
                <w:lang w:val="en-US"/>
              </w:rPr>
              <w:t>Christchurch City</w:t>
            </w:r>
          </w:p>
        </w:tc>
        <w:tc>
          <w:tcPr>
            <w:tcW w:w="1568" w:type="dxa"/>
            <w:tcBorders>
              <w:top w:val="single" w:sz="6" w:space="0" w:color="auto"/>
              <w:left w:val="single" w:sz="6" w:space="0" w:color="auto"/>
              <w:bottom w:val="single" w:sz="6" w:space="0" w:color="auto"/>
              <w:right w:val="single" w:sz="6" w:space="0" w:color="auto"/>
            </w:tcBorders>
          </w:tcPr>
          <w:p w14:paraId="7DD675A2" w14:textId="1F34F9D7" w:rsidR="00BD1874" w:rsidRDefault="005B620D" w:rsidP="00BD1874">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276BCEA6" w14:textId="096C9E2D" w:rsidR="00BD1874" w:rsidRDefault="005B620D" w:rsidP="00BD1874">
            <w:pPr>
              <w:rPr>
                <w:color w:val="000000" w:themeColor="text1"/>
                <w:lang w:val="en-US"/>
              </w:rPr>
            </w:pPr>
            <w:r>
              <w:rPr>
                <w:color w:val="000000" w:themeColor="text1"/>
                <w:lang w:val="en-US"/>
              </w:rPr>
              <w:t>NA</w:t>
            </w:r>
          </w:p>
        </w:tc>
        <w:tc>
          <w:tcPr>
            <w:tcW w:w="1882" w:type="dxa"/>
            <w:tcBorders>
              <w:top w:val="single" w:sz="6" w:space="0" w:color="auto"/>
              <w:left w:val="single" w:sz="6" w:space="0" w:color="auto"/>
              <w:bottom w:val="single" w:sz="6" w:space="0" w:color="auto"/>
            </w:tcBorders>
          </w:tcPr>
          <w:p w14:paraId="6DE38773" w14:textId="4AEE0279" w:rsidR="00BD1874" w:rsidRDefault="005B620D" w:rsidP="00BD1874">
            <w:pPr>
              <w:rPr>
                <w:color w:val="000000" w:themeColor="text1"/>
                <w:lang w:val="en-US"/>
              </w:rPr>
            </w:pPr>
            <w:r>
              <w:rPr>
                <w:color w:val="000000" w:themeColor="text1"/>
                <w:lang w:val="en-US"/>
              </w:rPr>
              <w:t>NA</w:t>
            </w:r>
          </w:p>
        </w:tc>
      </w:tr>
      <w:tr w:rsidR="00BD1874" w14:paraId="1CF7B232" w14:textId="77777777" w:rsidTr="00645B93">
        <w:trPr>
          <w:trHeight w:val="285"/>
        </w:trPr>
        <w:tc>
          <w:tcPr>
            <w:tcW w:w="4004" w:type="dxa"/>
            <w:tcBorders>
              <w:top w:val="single" w:sz="6" w:space="0" w:color="auto"/>
              <w:bottom w:val="single" w:sz="6" w:space="0" w:color="auto"/>
              <w:right w:val="single" w:sz="6" w:space="0" w:color="auto"/>
            </w:tcBorders>
          </w:tcPr>
          <w:p w14:paraId="502C5C8B" w14:textId="1B73850A" w:rsidR="00BD1874" w:rsidRDefault="00BD1874" w:rsidP="00BD1874">
            <w:pPr>
              <w:rPr>
                <w:color w:val="000000" w:themeColor="text1"/>
                <w:lang w:val="en-US"/>
              </w:rPr>
            </w:pPr>
            <w:r>
              <w:rPr>
                <w:color w:val="000000" w:themeColor="text1"/>
                <w:lang w:val="en-US"/>
              </w:rPr>
              <w:t>Central Otago District</w:t>
            </w:r>
          </w:p>
        </w:tc>
        <w:tc>
          <w:tcPr>
            <w:tcW w:w="1568" w:type="dxa"/>
            <w:tcBorders>
              <w:top w:val="single" w:sz="6" w:space="0" w:color="auto"/>
              <w:left w:val="single" w:sz="6" w:space="0" w:color="auto"/>
              <w:bottom w:val="single" w:sz="6" w:space="0" w:color="auto"/>
              <w:right w:val="single" w:sz="6" w:space="0" w:color="auto"/>
            </w:tcBorders>
          </w:tcPr>
          <w:p w14:paraId="50E71D08" w14:textId="1A47366E" w:rsidR="00BD1874" w:rsidRDefault="005B620D" w:rsidP="00BD1874">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4D51A242" w14:textId="558EDA50" w:rsidR="00BD1874" w:rsidRDefault="005B620D" w:rsidP="00BD1874">
            <w:pPr>
              <w:rPr>
                <w:color w:val="000000" w:themeColor="text1"/>
                <w:lang w:val="en-US"/>
              </w:rPr>
            </w:pPr>
            <w:r>
              <w:rPr>
                <w:color w:val="000000" w:themeColor="text1"/>
                <w:lang w:val="en-US"/>
              </w:rPr>
              <w:t>96.25</w:t>
            </w:r>
          </w:p>
        </w:tc>
        <w:tc>
          <w:tcPr>
            <w:tcW w:w="1882" w:type="dxa"/>
            <w:tcBorders>
              <w:top w:val="single" w:sz="6" w:space="0" w:color="auto"/>
              <w:left w:val="single" w:sz="6" w:space="0" w:color="auto"/>
              <w:bottom w:val="single" w:sz="6" w:space="0" w:color="auto"/>
            </w:tcBorders>
          </w:tcPr>
          <w:p w14:paraId="4FCA9C76" w14:textId="13F4C0DF" w:rsidR="00BD1874" w:rsidRDefault="005B620D" w:rsidP="00BD1874">
            <w:pPr>
              <w:rPr>
                <w:color w:val="000000" w:themeColor="text1"/>
                <w:lang w:val="en-US"/>
              </w:rPr>
            </w:pPr>
            <w:r>
              <w:rPr>
                <w:color w:val="000000" w:themeColor="text1"/>
                <w:lang w:val="en-US"/>
              </w:rPr>
              <w:t>108.71</w:t>
            </w:r>
          </w:p>
        </w:tc>
      </w:tr>
      <w:tr w:rsidR="00BD1874" w14:paraId="09B53E56" w14:textId="77777777" w:rsidTr="00645B93">
        <w:trPr>
          <w:trHeight w:val="305"/>
        </w:trPr>
        <w:tc>
          <w:tcPr>
            <w:tcW w:w="4004" w:type="dxa"/>
            <w:tcBorders>
              <w:top w:val="single" w:sz="6" w:space="0" w:color="auto"/>
              <w:bottom w:val="single" w:sz="6" w:space="0" w:color="auto"/>
              <w:right w:val="single" w:sz="6" w:space="0" w:color="auto"/>
            </w:tcBorders>
          </w:tcPr>
          <w:p w14:paraId="657BE740" w14:textId="0091CD33" w:rsidR="00BD1874" w:rsidRDefault="00BD1874" w:rsidP="00BD1874">
            <w:pPr>
              <w:rPr>
                <w:color w:val="000000" w:themeColor="text1"/>
                <w:lang w:val="en-US"/>
              </w:rPr>
            </w:pPr>
            <w:r>
              <w:rPr>
                <w:color w:val="000000" w:themeColor="text1"/>
                <w:lang w:val="en-US"/>
              </w:rPr>
              <w:t>Buller District</w:t>
            </w:r>
          </w:p>
        </w:tc>
        <w:tc>
          <w:tcPr>
            <w:tcW w:w="1568" w:type="dxa"/>
            <w:tcBorders>
              <w:top w:val="single" w:sz="6" w:space="0" w:color="auto"/>
              <w:left w:val="single" w:sz="6" w:space="0" w:color="auto"/>
              <w:bottom w:val="single" w:sz="6" w:space="0" w:color="auto"/>
              <w:right w:val="single" w:sz="6" w:space="0" w:color="auto"/>
            </w:tcBorders>
          </w:tcPr>
          <w:p w14:paraId="5D638034" w14:textId="7081501B" w:rsidR="00BD1874" w:rsidRDefault="005B620D" w:rsidP="00BD1874">
            <w:pPr>
              <w:rPr>
                <w:color w:val="000000" w:themeColor="text1"/>
                <w:lang w:val="en-US"/>
              </w:rPr>
            </w:pPr>
            <w:r>
              <w:rPr>
                <w:color w:val="000000" w:themeColor="text1"/>
                <w:lang w:val="en-US"/>
              </w:rPr>
              <w:t>NA</w:t>
            </w:r>
          </w:p>
        </w:tc>
        <w:tc>
          <w:tcPr>
            <w:tcW w:w="1744" w:type="dxa"/>
            <w:tcBorders>
              <w:top w:val="single" w:sz="6" w:space="0" w:color="auto"/>
              <w:left w:val="single" w:sz="6" w:space="0" w:color="auto"/>
              <w:bottom w:val="single" w:sz="6" w:space="0" w:color="auto"/>
              <w:right w:val="single" w:sz="6" w:space="0" w:color="auto"/>
            </w:tcBorders>
          </w:tcPr>
          <w:p w14:paraId="4D3A31B1" w14:textId="1115D76D" w:rsidR="00BD1874" w:rsidRDefault="005B620D" w:rsidP="00BD1874">
            <w:pPr>
              <w:rPr>
                <w:color w:val="000000" w:themeColor="text1"/>
                <w:lang w:val="en-US"/>
              </w:rPr>
            </w:pPr>
            <w:r>
              <w:rPr>
                <w:color w:val="000000" w:themeColor="text1"/>
                <w:lang w:val="en-US"/>
              </w:rPr>
              <w:t>109.70</w:t>
            </w:r>
          </w:p>
        </w:tc>
        <w:tc>
          <w:tcPr>
            <w:tcW w:w="1882" w:type="dxa"/>
            <w:tcBorders>
              <w:top w:val="single" w:sz="6" w:space="0" w:color="auto"/>
              <w:left w:val="single" w:sz="6" w:space="0" w:color="auto"/>
              <w:bottom w:val="single" w:sz="6" w:space="0" w:color="auto"/>
            </w:tcBorders>
          </w:tcPr>
          <w:p w14:paraId="4C91353B" w14:textId="379ED565" w:rsidR="00BD1874" w:rsidRDefault="005B620D" w:rsidP="00BD1874">
            <w:pPr>
              <w:rPr>
                <w:color w:val="000000" w:themeColor="text1"/>
                <w:lang w:val="en-US"/>
              </w:rPr>
            </w:pPr>
            <w:r>
              <w:rPr>
                <w:color w:val="000000" w:themeColor="text1"/>
                <w:lang w:val="en-US"/>
              </w:rPr>
              <w:t>NA</w:t>
            </w:r>
          </w:p>
        </w:tc>
      </w:tr>
      <w:tr w:rsidR="00BD1874" w14:paraId="1ED02708" w14:textId="77777777" w:rsidTr="00645B93">
        <w:trPr>
          <w:trHeight w:val="267"/>
        </w:trPr>
        <w:tc>
          <w:tcPr>
            <w:tcW w:w="4004" w:type="dxa"/>
            <w:tcBorders>
              <w:top w:val="single" w:sz="6" w:space="0" w:color="auto"/>
              <w:right w:val="single" w:sz="6" w:space="0" w:color="auto"/>
            </w:tcBorders>
          </w:tcPr>
          <w:p w14:paraId="09251348" w14:textId="217F1870" w:rsidR="00BD1874" w:rsidRDefault="00BD1874" w:rsidP="00BD1874">
            <w:pPr>
              <w:rPr>
                <w:color w:val="000000" w:themeColor="text1"/>
                <w:lang w:val="en-US"/>
              </w:rPr>
            </w:pPr>
            <w:r>
              <w:rPr>
                <w:color w:val="000000" w:themeColor="text1"/>
                <w:lang w:val="en-US"/>
              </w:rPr>
              <w:t>Ashburton District</w:t>
            </w:r>
          </w:p>
        </w:tc>
        <w:tc>
          <w:tcPr>
            <w:tcW w:w="1568" w:type="dxa"/>
            <w:tcBorders>
              <w:top w:val="single" w:sz="6" w:space="0" w:color="auto"/>
              <w:left w:val="single" w:sz="6" w:space="0" w:color="auto"/>
              <w:right w:val="single" w:sz="6" w:space="0" w:color="auto"/>
            </w:tcBorders>
          </w:tcPr>
          <w:p w14:paraId="6E6160CF" w14:textId="36A8C970" w:rsidR="00BD1874" w:rsidRDefault="005B620D" w:rsidP="00BD1874">
            <w:pPr>
              <w:rPr>
                <w:color w:val="000000" w:themeColor="text1"/>
                <w:lang w:val="en-US"/>
              </w:rPr>
            </w:pPr>
            <w:r>
              <w:rPr>
                <w:color w:val="000000" w:themeColor="text1"/>
                <w:lang w:val="en-US"/>
              </w:rPr>
              <w:t>100.45</w:t>
            </w:r>
          </w:p>
        </w:tc>
        <w:tc>
          <w:tcPr>
            <w:tcW w:w="1744" w:type="dxa"/>
            <w:tcBorders>
              <w:top w:val="single" w:sz="6" w:space="0" w:color="auto"/>
              <w:left w:val="single" w:sz="6" w:space="0" w:color="auto"/>
              <w:right w:val="single" w:sz="6" w:space="0" w:color="auto"/>
            </w:tcBorders>
          </w:tcPr>
          <w:p w14:paraId="28CBD31F" w14:textId="37296C02" w:rsidR="00BD1874" w:rsidRDefault="005B620D" w:rsidP="00BD1874">
            <w:pPr>
              <w:rPr>
                <w:color w:val="000000" w:themeColor="text1"/>
                <w:lang w:val="en-US"/>
              </w:rPr>
            </w:pPr>
            <w:r>
              <w:rPr>
                <w:color w:val="000000" w:themeColor="text1"/>
                <w:lang w:val="en-US"/>
              </w:rPr>
              <w:t>101.68</w:t>
            </w:r>
          </w:p>
        </w:tc>
        <w:tc>
          <w:tcPr>
            <w:tcW w:w="1882" w:type="dxa"/>
            <w:tcBorders>
              <w:top w:val="single" w:sz="6" w:space="0" w:color="auto"/>
              <w:left w:val="single" w:sz="6" w:space="0" w:color="auto"/>
            </w:tcBorders>
          </w:tcPr>
          <w:p w14:paraId="2E6F11B9" w14:textId="571A9106" w:rsidR="00BD1874" w:rsidRDefault="005B620D" w:rsidP="00BD1874">
            <w:pPr>
              <w:rPr>
                <w:color w:val="000000" w:themeColor="text1"/>
                <w:lang w:val="en-US"/>
              </w:rPr>
            </w:pPr>
            <w:r>
              <w:rPr>
                <w:color w:val="000000" w:themeColor="text1"/>
                <w:lang w:val="en-US"/>
              </w:rPr>
              <w:t>NA</w:t>
            </w:r>
          </w:p>
        </w:tc>
      </w:tr>
    </w:tbl>
    <w:p w14:paraId="77265F58" w14:textId="77777777" w:rsidR="000067A8" w:rsidRDefault="000067A8" w:rsidP="00B3052E">
      <w:pPr>
        <w:rPr>
          <w:color w:val="000000" w:themeColor="text1"/>
          <w:lang w:val="en-US"/>
        </w:rPr>
      </w:pPr>
    </w:p>
    <w:p w14:paraId="028716BB" w14:textId="77777777" w:rsidR="00B07F7A" w:rsidRDefault="00B07F7A" w:rsidP="00B3052E">
      <w:pPr>
        <w:rPr>
          <w:color w:val="000000" w:themeColor="text1"/>
          <w:lang w:val="en-US"/>
        </w:rPr>
      </w:pPr>
    </w:p>
    <w:p w14:paraId="4B07CD5D" w14:textId="3C2D6880" w:rsidR="001D4816" w:rsidRDefault="001D4816" w:rsidP="00B3052E">
      <w:pPr>
        <w:rPr>
          <w:color w:val="000000" w:themeColor="text1"/>
          <w:lang w:val="en-US"/>
        </w:rPr>
      </w:pPr>
    </w:p>
    <w:p w14:paraId="5C443D3F" w14:textId="77777777" w:rsidR="0074304D" w:rsidRDefault="0074304D" w:rsidP="005C3EAF">
      <w:pPr>
        <w:rPr>
          <w:b/>
          <w:bCs/>
          <w:color w:val="000000" w:themeColor="text1"/>
          <w:sz w:val="28"/>
          <w:szCs w:val="28"/>
          <w:lang w:val="en-US"/>
        </w:rPr>
      </w:pPr>
    </w:p>
    <w:p w14:paraId="080FA81F" w14:textId="77777777" w:rsidR="0074304D" w:rsidRDefault="0074304D" w:rsidP="005C3EAF">
      <w:pPr>
        <w:rPr>
          <w:b/>
          <w:bCs/>
          <w:color w:val="000000" w:themeColor="text1"/>
          <w:sz w:val="28"/>
          <w:szCs w:val="28"/>
          <w:lang w:val="en-US"/>
        </w:rPr>
      </w:pPr>
    </w:p>
    <w:p w14:paraId="750C6DB0" w14:textId="4C021C97" w:rsidR="005C3EAF" w:rsidRDefault="005C3EAF" w:rsidP="005C3EAF">
      <w:pPr>
        <w:rPr>
          <w:b/>
          <w:bCs/>
          <w:color w:val="000000" w:themeColor="text1"/>
          <w:sz w:val="28"/>
          <w:szCs w:val="28"/>
          <w:lang w:val="en-US"/>
        </w:rPr>
      </w:pPr>
      <w:r>
        <w:rPr>
          <w:b/>
          <w:bCs/>
          <w:color w:val="000000" w:themeColor="text1"/>
          <w:sz w:val="28"/>
          <w:szCs w:val="28"/>
          <w:lang w:val="en-US"/>
        </w:rPr>
        <w:t>Conclusion:</w:t>
      </w:r>
    </w:p>
    <w:p w14:paraId="0F8D1F01" w14:textId="5D5E8C45" w:rsidR="001D4816" w:rsidRDefault="00DE7454" w:rsidP="00B3052E">
      <w:pPr>
        <w:rPr>
          <w:color w:val="000000" w:themeColor="text1"/>
          <w:lang w:val="en-US"/>
        </w:rPr>
      </w:pPr>
      <w:r>
        <w:rPr>
          <w:color w:val="000000" w:themeColor="text1"/>
          <w:lang w:val="en-US"/>
        </w:rPr>
        <w:t xml:space="preserve">In conclusion, </w:t>
      </w:r>
      <w:r w:rsidR="00584291">
        <w:rPr>
          <w:color w:val="000000" w:themeColor="text1"/>
          <w:lang w:val="en-US"/>
        </w:rPr>
        <w:t xml:space="preserve">macroinvertebrates are a great indication tool for the water quality and general health of our stream. </w:t>
      </w:r>
      <w:r w:rsidR="00BA0B99">
        <w:rPr>
          <w:color w:val="000000" w:themeColor="text1"/>
          <w:lang w:val="en-US"/>
        </w:rPr>
        <w:t xml:space="preserve">It is essential to look </w:t>
      </w:r>
      <w:r w:rsidR="004F359C">
        <w:rPr>
          <w:color w:val="000000" w:themeColor="text1"/>
          <w:lang w:val="en-US"/>
        </w:rPr>
        <w:t>at</w:t>
      </w:r>
      <w:r w:rsidR="00BA0B99">
        <w:rPr>
          <w:color w:val="000000" w:themeColor="text1"/>
          <w:lang w:val="en-US"/>
        </w:rPr>
        <w:t xml:space="preserve"> the change in temperatures in the rivers as this will help indicate the health of biological species living in the streams. </w:t>
      </w:r>
      <w:r w:rsidR="001D2B46">
        <w:rPr>
          <w:color w:val="000000" w:themeColor="text1"/>
          <w:lang w:val="en-US"/>
        </w:rPr>
        <w:t>Benthic</w:t>
      </w:r>
      <w:r w:rsidR="00915FE0">
        <w:rPr>
          <w:color w:val="000000" w:themeColor="text1"/>
          <w:lang w:val="en-US"/>
        </w:rPr>
        <w:t xml:space="preserve"> </w:t>
      </w:r>
      <w:r w:rsidR="001D2B46">
        <w:rPr>
          <w:color w:val="000000" w:themeColor="text1"/>
          <w:lang w:val="en-US"/>
        </w:rPr>
        <w:t>macroinvertebrates are crucial for the health of the rivers in South Island as they produce terrestrial and aquatic matters</w:t>
      </w:r>
      <w:r w:rsidR="00915FE0">
        <w:rPr>
          <w:color w:val="000000" w:themeColor="text1"/>
          <w:lang w:val="en-US"/>
        </w:rPr>
        <w:t xml:space="preserve"> (Land Air Water Aotearoa, 2021). </w:t>
      </w:r>
      <w:r w:rsidR="001D2B46">
        <w:rPr>
          <w:color w:val="000000" w:themeColor="text1"/>
          <w:lang w:val="en-US"/>
        </w:rPr>
        <w:t xml:space="preserve">We </w:t>
      </w:r>
      <w:r w:rsidR="008137EB">
        <w:rPr>
          <w:color w:val="000000" w:themeColor="text1"/>
          <w:lang w:val="en-US"/>
        </w:rPr>
        <w:t>must consider</w:t>
      </w:r>
      <w:r w:rsidR="001D2B46">
        <w:rPr>
          <w:color w:val="000000" w:themeColor="text1"/>
          <w:lang w:val="en-US"/>
        </w:rPr>
        <w:t xml:space="preserve"> that </w:t>
      </w:r>
      <w:r w:rsidR="008137EB">
        <w:rPr>
          <w:color w:val="000000" w:themeColor="text1"/>
          <w:lang w:val="en-US"/>
        </w:rPr>
        <w:t>they best fit in</w:t>
      </w:r>
      <w:r w:rsidR="008137EB" w:rsidRPr="008137EB">
        <w:rPr>
          <w:color w:val="000000" w:themeColor="text1"/>
          <w:lang w:val="en-US"/>
        </w:rPr>
        <w:t xml:space="preserve"> </w:t>
      </w:r>
      <w:r w:rsidR="008137EB">
        <w:rPr>
          <w:color w:val="000000" w:themeColor="text1"/>
          <w:lang w:val="en-US"/>
        </w:rPr>
        <w:t xml:space="preserve">Cool-Extremely-Wet </w:t>
      </w:r>
      <w:r w:rsidR="00915FE0">
        <w:rPr>
          <w:color w:val="000000" w:themeColor="text1"/>
          <w:lang w:val="en-US"/>
        </w:rPr>
        <w:t xml:space="preserve">(CX) </w:t>
      </w:r>
      <w:r w:rsidR="008137EB">
        <w:rPr>
          <w:color w:val="000000" w:themeColor="text1"/>
          <w:lang w:val="en-US"/>
        </w:rPr>
        <w:t>water temperature as they are most likely to be populated in this climate condition and this is a good indication of the stream health.</w:t>
      </w:r>
      <w:r w:rsidR="00915FE0">
        <w:rPr>
          <w:color w:val="000000" w:themeColor="text1"/>
          <w:lang w:val="en-US"/>
        </w:rPr>
        <w:t xml:space="preserve"> This is evidently shown in (Figure 2, 3 &amp; 4) where indicators</w:t>
      </w:r>
      <w:r w:rsidR="00990467">
        <w:rPr>
          <w:color w:val="000000" w:themeColor="text1"/>
          <w:lang w:val="en-US"/>
        </w:rPr>
        <w:t xml:space="preserve"> </w:t>
      </w:r>
      <w:r w:rsidR="00915FE0">
        <w:rPr>
          <w:color w:val="000000" w:themeColor="text1"/>
          <w:lang w:val="en-US"/>
        </w:rPr>
        <w:t>correlate</w:t>
      </w:r>
      <w:r w:rsidR="00990467">
        <w:rPr>
          <w:color w:val="000000" w:themeColor="text1"/>
          <w:lang w:val="en-US"/>
        </w:rPr>
        <w:t xml:space="preserve"> one another. Variability is significant as the MCI around the South Island are distributed along with its indicated climate. Finally, its notable that certain climate temperature </w:t>
      </w:r>
      <w:r w:rsidR="00674B8E">
        <w:rPr>
          <w:color w:val="000000" w:themeColor="text1"/>
          <w:lang w:val="en-US"/>
        </w:rPr>
        <w:t>influences</w:t>
      </w:r>
      <w:r w:rsidR="00990467">
        <w:rPr>
          <w:color w:val="000000" w:themeColor="text1"/>
          <w:lang w:val="en-US"/>
        </w:rPr>
        <w:t xml:space="preserve"> the mean SiteMedian of MCI which the overall health of the rivers are dependent on.</w:t>
      </w:r>
    </w:p>
    <w:p w14:paraId="3C1E8040" w14:textId="05168252" w:rsidR="00CE1C91" w:rsidRDefault="00CE1C91" w:rsidP="00B3052E">
      <w:pPr>
        <w:rPr>
          <w:color w:val="000000" w:themeColor="text1"/>
          <w:lang w:val="en-US"/>
        </w:rPr>
      </w:pPr>
    </w:p>
    <w:p w14:paraId="4B923E75" w14:textId="4472F0F6" w:rsidR="00C718CF" w:rsidRDefault="00C718CF" w:rsidP="00B3052E">
      <w:pPr>
        <w:rPr>
          <w:color w:val="000000" w:themeColor="text1"/>
          <w:lang w:val="en-US"/>
        </w:rPr>
      </w:pPr>
    </w:p>
    <w:p w14:paraId="0892DAC6" w14:textId="37E88D17" w:rsidR="00C718CF" w:rsidRDefault="00C718CF" w:rsidP="00B3052E">
      <w:pPr>
        <w:rPr>
          <w:color w:val="000000" w:themeColor="text1"/>
          <w:lang w:val="en-US"/>
        </w:rPr>
      </w:pPr>
    </w:p>
    <w:p w14:paraId="6F797648" w14:textId="21BB9A93" w:rsidR="00C718CF" w:rsidRDefault="00C718CF" w:rsidP="00B3052E">
      <w:pPr>
        <w:rPr>
          <w:color w:val="000000" w:themeColor="text1"/>
          <w:lang w:val="en-US"/>
        </w:rPr>
      </w:pPr>
    </w:p>
    <w:p w14:paraId="3525BAF7" w14:textId="03826D1A" w:rsidR="00C718CF" w:rsidRDefault="00C718CF" w:rsidP="00B3052E">
      <w:pPr>
        <w:rPr>
          <w:color w:val="000000" w:themeColor="text1"/>
          <w:lang w:val="en-US"/>
        </w:rPr>
      </w:pPr>
    </w:p>
    <w:p w14:paraId="3DA029FB" w14:textId="77777777" w:rsidR="00C718CF" w:rsidRDefault="00C718CF" w:rsidP="00B3052E">
      <w:pPr>
        <w:rPr>
          <w:color w:val="000000" w:themeColor="text1"/>
          <w:lang w:val="en-US"/>
        </w:rPr>
      </w:pPr>
    </w:p>
    <w:p w14:paraId="7EA0DA56" w14:textId="7BE50AF4" w:rsidR="00CE1C91" w:rsidRDefault="00CE1C91" w:rsidP="00B3052E">
      <w:pPr>
        <w:rPr>
          <w:color w:val="000000" w:themeColor="text1"/>
          <w:lang w:val="en-US"/>
        </w:rPr>
      </w:pPr>
    </w:p>
    <w:p w14:paraId="1CE21A45" w14:textId="291684A3" w:rsidR="00CE1C91" w:rsidRDefault="00CE1C91" w:rsidP="00B3052E">
      <w:pPr>
        <w:rPr>
          <w:color w:val="000000" w:themeColor="text1"/>
          <w:lang w:val="en-US"/>
        </w:rPr>
      </w:pPr>
    </w:p>
    <w:p w14:paraId="5FEB2433" w14:textId="5AD8A133" w:rsidR="00CE1C91" w:rsidRDefault="00CE1C91" w:rsidP="00B3052E">
      <w:pPr>
        <w:rPr>
          <w:color w:val="000000" w:themeColor="text1"/>
          <w:lang w:val="en-US"/>
        </w:rPr>
      </w:pPr>
    </w:p>
    <w:p w14:paraId="43AD1837" w14:textId="6286C507" w:rsidR="00CE1C91" w:rsidRDefault="00CE1C91" w:rsidP="00B3052E">
      <w:pPr>
        <w:rPr>
          <w:color w:val="000000" w:themeColor="text1"/>
          <w:lang w:val="en-US"/>
        </w:rPr>
      </w:pPr>
    </w:p>
    <w:p w14:paraId="67418F95" w14:textId="592E3280" w:rsidR="00CE1C91" w:rsidRDefault="00CE1C91" w:rsidP="00B3052E">
      <w:pPr>
        <w:rPr>
          <w:color w:val="000000" w:themeColor="text1"/>
          <w:lang w:val="en-US"/>
        </w:rPr>
      </w:pPr>
    </w:p>
    <w:p w14:paraId="5C543D80" w14:textId="26C85202" w:rsidR="00CE1C91" w:rsidRDefault="00CE1C91" w:rsidP="00B3052E">
      <w:pPr>
        <w:rPr>
          <w:color w:val="000000" w:themeColor="text1"/>
          <w:lang w:val="en-US"/>
        </w:rPr>
      </w:pPr>
    </w:p>
    <w:p w14:paraId="6DFEEFE4" w14:textId="6845DD82" w:rsidR="00CE1C91" w:rsidRDefault="00CE1C91" w:rsidP="00B3052E">
      <w:pPr>
        <w:rPr>
          <w:color w:val="000000" w:themeColor="text1"/>
          <w:lang w:val="en-US"/>
        </w:rPr>
      </w:pPr>
    </w:p>
    <w:p w14:paraId="5B4FC2C7" w14:textId="1DF0447B" w:rsidR="00CE1C91" w:rsidRDefault="00CE1C91" w:rsidP="00B3052E">
      <w:pPr>
        <w:rPr>
          <w:color w:val="000000" w:themeColor="text1"/>
          <w:lang w:val="en-US"/>
        </w:rPr>
      </w:pPr>
    </w:p>
    <w:p w14:paraId="01B93134" w14:textId="19E56A90" w:rsidR="008137EB" w:rsidRDefault="008137EB" w:rsidP="00EE507F">
      <w:pPr>
        <w:rPr>
          <w:color w:val="000000" w:themeColor="text1"/>
          <w:lang w:val="en-US"/>
        </w:rPr>
      </w:pPr>
    </w:p>
    <w:p w14:paraId="1135D1E3" w14:textId="77777777" w:rsidR="00EE507F" w:rsidRDefault="00EE507F" w:rsidP="00EE507F">
      <w:pPr>
        <w:rPr>
          <w:b/>
          <w:bCs/>
          <w:color w:val="000000" w:themeColor="text1"/>
          <w:sz w:val="32"/>
          <w:szCs w:val="32"/>
          <w:lang w:val="en-US"/>
        </w:rPr>
      </w:pPr>
    </w:p>
    <w:p w14:paraId="1F705FD7" w14:textId="77777777" w:rsidR="008137EB" w:rsidRDefault="008137EB" w:rsidP="00CE1C91">
      <w:pPr>
        <w:jc w:val="center"/>
        <w:rPr>
          <w:b/>
          <w:bCs/>
          <w:color w:val="000000" w:themeColor="text1"/>
          <w:sz w:val="32"/>
          <w:szCs w:val="32"/>
          <w:lang w:val="en-US"/>
        </w:rPr>
      </w:pPr>
    </w:p>
    <w:p w14:paraId="303A87AF" w14:textId="77777777" w:rsidR="008137EB" w:rsidRDefault="008137EB" w:rsidP="00CE1C91">
      <w:pPr>
        <w:jc w:val="center"/>
        <w:rPr>
          <w:b/>
          <w:bCs/>
          <w:color w:val="000000" w:themeColor="text1"/>
          <w:sz w:val="32"/>
          <w:szCs w:val="32"/>
          <w:lang w:val="en-US"/>
        </w:rPr>
      </w:pPr>
    </w:p>
    <w:p w14:paraId="10020E3A" w14:textId="77777777" w:rsidR="008137EB" w:rsidRDefault="008137EB" w:rsidP="00CE1C91">
      <w:pPr>
        <w:jc w:val="center"/>
        <w:rPr>
          <w:b/>
          <w:bCs/>
          <w:color w:val="000000" w:themeColor="text1"/>
          <w:sz w:val="32"/>
          <w:szCs w:val="32"/>
          <w:lang w:val="en-US"/>
        </w:rPr>
      </w:pPr>
    </w:p>
    <w:p w14:paraId="2A5E143E" w14:textId="5BB169E1" w:rsidR="008137EB" w:rsidRDefault="008137EB" w:rsidP="00CE1C91">
      <w:pPr>
        <w:jc w:val="center"/>
        <w:rPr>
          <w:b/>
          <w:bCs/>
          <w:color w:val="000000" w:themeColor="text1"/>
          <w:sz w:val="32"/>
          <w:szCs w:val="32"/>
          <w:lang w:val="en-US"/>
        </w:rPr>
      </w:pPr>
    </w:p>
    <w:p w14:paraId="4037B48E" w14:textId="341680EE" w:rsidR="0074304D" w:rsidRDefault="0074304D" w:rsidP="00CE1C91">
      <w:pPr>
        <w:jc w:val="center"/>
        <w:rPr>
          <w:b/>
          <w:bCs/>
          <w:color w:val="000000" w:themeColor="text1"/>
          <w:sz w:val="32"/>
          <w:szCs w:val="32"/>
          <w:lang w:val="en-US"/>
        </w:rPr>
      </w:pPr>
    </w:p>
    <w:p w14:paraId="5E5D0007" w14:textId="30D6F704" w:rsidR="0074304D" w:rsidRDefault="0074304D" w:rsidP="00CE1C91">
      <w:pPr>
        <w:jc w:val="center"/>
        <w:rPr>
          <w:b/>
          <w:bCs/>
          <w:color w:val="000000" w:themeColor="text1"/>
          <w:sz w:val="32"/>
          <w:szCs w:val="32"/>
          <w:lang w:val="en-US"/>
        </w:rPr>
      </w:pPr>
    </w:p>
    <w:p w14:paraId="4728C42A" w14:textId="2FCB7364" w:rsidR="0074304D" w:rsidRDefault="0074304D" w:rsidP="00674B8E">
      <w:pPr>
        <w:rPr>
          <w:b/>
          <w:bCs/>
          <w:color w:val="000000" w:themeColor="text1"/>
          <w:sz w:val="32"/>
          <w:szCs w:val="32"/>
          <w:lang w:val="en-US"/>
        </w:rPr>
      </w:pPr>
    </w:p>
    <w:p w14:paraId="2B169274" w14:textId="77777777" w:rsidR="00674B8E" w:rsidRDefault="00674B8E" w:rsidP="00674B8E">
      <w:pPr>
        <w:rPr>
          <w:b/>
          <w:bCs/>
          <w:color w:val="000000" w:themeColor="text1"/>
          <w:sz w:val="32"/>
          <w:szCs w:val="32"/>
          <w:lang w:val="en-US"/>
        </w:rPr>
      </w:pPr>
    </w:p>
    <w:p w14:paraId="0D931783" w14:textId="39E8930C" w:rsidR="00CE1C91" w:rsidRDefault="00CE1C91" w:rsidP="00CE1C91">
      <w:pPr>
        <w:jc w:val="center"/>
        <w:rPr>
          <w:b/>
          <w:bCs/>
          <w:color w:val="000000" w:themeColor="text1"/>
          <w:sz w:val="32"/>
          <w:szCs w:val="32"/>
          <w:lang w:val="en-US"/>
        </w:rPr>
      </w:pPr>
      <w:r w:rsidRPr="00CE1C91">
        <w:rPr>
          <w:b/>
          <w:bCs/>
          <w:color w:val="000000" w:themeColor="text1"/>
          <w:sz w:val="32"/>
          <w:szCs w:val="32"/>
          <w:lang w:val="en-US"/>
        </w:rPr>
        <w:lastRenderedPageBreak/>
        <w:t>References</w:t>
      </w:r>
    </w:p>
    <w:p w14:paraId="72537810" w14:textId="77777777" w:rsidR="000D7320" w:rsidRPr="00CE1C91" w:rsidRDefault="000D7320" w:rsidP="00CE1C91">
      <w:pPr>
        <w:jc w:val="center"/>
        <w:rPr>
          <w:b/>
          <w:bCs/>
          <w:color w:val="000000" w:themeColor="text1"/>
          <w:sz w:val="32"/>
          <w:szCs w:val="32"/>
          <w:lang w:val="en-US"/>
        </w:rPr>
      </w:pPr>
    </w:p>
    <w:p w14:paraId="09F971FD" w14:textId="1E00CEE1" w:rsidR="008137EB" w:rsidRDefault="00CE1C91" w:rsidP="00EE507F">
      <w:pPr>
        <w:ind w:left="1440" w:hanging="720"/>
        <w:rPr>
          <w:color w:val="000000" w:themeColor="text1"/>
          <w:lang w:val="en-US"/>
        </w:rPr>
      </w:pPr>
      <w:r>
        <w:rPr>
          <w:color w:val="000000" w:themeColor="text1"/>
          <w:lang w:val="en-US"/>
        </w:rPr>
        <w:t>Stats NZ. (2020)</w:t>
      </w:r>
      <w:r w:rsidR="000D7320">
        <w:rPr>
          <w:color w:val="000000" w:themeColor="text1"/>
          <w:lang w:val="en-US"/>
        </w:rPr>
        <w:t xml:space="preserve">. </w:t>
      </w:r>
      <w:r w:rsidR="000D7320" w:rsidRPr="008475B5">
        <w:rPr>
          <w:i/>
          <w:iCs/>
          <w:color w:val="000000" w:themeColor="text1"/>
          <w:lang w:val="en-US"/>
        </w:rPr>
        <w:t>River water quality: Macroinvertebrate Community Index</w:t>
      </w:r>
      <w:r w:rsidR="000D7320">
        <w:rPr>
          <w:color w:val="000000" w:themeColor="text1"/>
          <w:lang w:val="en-US"/>
        </w:rPr>
        <w:t>.</w:t>
      </w:r>
      <w:r w:rsidR="008137EB">
        <w:rPr>
          <w:color w:val="000000" w:themeColor="text1"/>
          <w:lang w:val="en-US"/>
        </w:rPr>
        <w:t xml:space="preserve"> </w:t>
      </w:r>
      <w:hyperlink r:id="rId23" w:history="1">
        <w:r w:rsidR="008137EB" w:rsidRPr="000E14C1">
          <w:rPr>
            <w:rStyle w:val="Hyperlink"/>
            <w:lang w:val="en-US"/>
          </w:rPr>
          <w:t>https://www.stats.govt.nz/indicators/river-water-quality-macroinvertebrate-community-index</w:t>
        </w:r>
      </w:hyperlink>
    </w:p>
    <w:p w14:paraId="5057B13E" w14:textId="1D321286" w:rsidR="00DB5FC8" w:rsidRDefault="00DB5FC8" w:rsidP="008137EB">
      <w:pPr>
        <w:rPr>
          <w:color w:val="000000" w:themeColor="text1"/>
          <w:lang w:val="en-US"/>
        </w:rPr>
      </w:pPr>
    </w:p>
    <w:p w14:paraId="601E7417" w14:textId="39E9167D" w:rsidR="00EE507F" w:rsidRDefault="008475B5" w:rsidP="00EE507F">
      <w:pPr>
        <w:ind w:left="1440" w:hanging="720"/>
        <w:rPr>
          <w:color w:val="000000" w:themeColor="text1"/>
          <w:lang w:val="en-US"/>
        </w:rPr>
      </w:pPr>
      <w:r>
        <w:rPr>
          <w:color w:val="000000" w:themeColor="text1"/>
          <w:lang w:val="en-US"/>
        </w:rPr>
        <w:t xml:space="preserve">Ministry for the Environment. (2010). </w:t>
      </w:r>
      <w:r w:rsidR="00D0663B">
        <w:rPr>
          <w:i/>
          <w:iCs/>
          <w:color w:val="000000" w:themeColor="text1"/>
          <w:lang w:val="en-US"/>
        </w:rPr>
        <w:t xml:space="preserve">New Zealand River Environment Classification User Guide. </w:t>
      </w:r>
      <w:hyperlink r:id="rId24" w:history="1">
        <w:r w:rsidR="008137EB" w:rsidRPr="000E14C1">
          <w:rPr>
            <w:rStyle w:val="Hyperlink"/>
            <w:lang w:val="en-US"/>
          </w:rPr>
          <w:t>https://environment.govt.nz/assets/Acts-regs-and-policy-statements/rec-user-guide-2010.pdf</w:t>
        </w:r>
      </w:hyperlink>
    </w:p>
    <w:p w14:paraId="3E108C5B" w14:textId="77777777" w:rsidR="00EE507F" w:rsidRDefault="00EE507F" w:rsidP="00EE507F">
      <w:pPr>
        <w:ind w:left="1440" w:hanging="720"/>
        <w:rPr>
          <w:color w:val="000000" w:themeColor="text1"/>
          <w:lang w:val="en-US"/>
        </w:rPr>
      </w:pPr>
    </w:p>
    <w:p w14:paraId="251F0593" w14:textId="12EB1278" w:rsidR="00EE507F" w:rsidRDefault="00EE507F" w:rsidP="008137EB">
      <w:pPr>
        <w:ind w:left="1440" w:hanging="720"/>
        <w:rPr>
          <w:i/>
          <w:iCs/>
          <w:color w:val="000000" w:themeColor="text1"/>
          <w:lang w:val="en-US"/>
        </w:rPr>
      </w:pPr>
      <w:r>
        <w:rPr>
          <w:color w:val="000000" w:themeColor="text1"/>
          <w:lang w:val="en-US"/>
        </w:rPr>
        <w:t xml:space="preserve">Land Air Water Aotearoa. (2021). </w:t>
      </w:r>
      <w:r>
        <w:rPr>
          <w:i/>
          <w:iCs/>
          <w:color w:val="000000" w:themeColor="text1"/>
          <w:lang w:val="en-US"/>
        </w:rPr>
        <w:t xml:space="preserve">Factsheet: Benthic macroinvertebrate. </w:t>
      </w:r>
      <w:hyperlink r:id="rId25" w:history="1">
        <w:r w:rsidRPr="000E14C1">
          <w:rPr>
            <w:rStyle w:val="Hyperlink"/>
            <w:i/>
            <w:iCs/>
            <w:lang w:val="en-US"/>
          </w:rPr>
          <w:t>https://www.lawa.org.nz/learn/factsheets/benthic-macroinvertebrates/</w:t>
        </w:r>
      </w:hyperlink>
    </w:p>
    <w:p w14:paraId="2D8F02DF" w14:textId="47D3F666" w:rsidR="00EE507F" w:rsidRDefault="00EE507F" w:rsidP="008137EB">
      <w:pPr>
        <w:ind w:left="1440" w:hanging="720"/>
        <w:rPr>
          <w:i/>
          <w:iCs/>
          <w:color w:val="000000" w:themeColor="text1"/>
          <w:lang w:val="en-US"/>
        </w:rPr>
      </w:pPr>
    </w:p>
    <w:p w14:paraId="29A094FA" w14:textId="0298FA23" w:rsidR="00E74497" w:rsidRDefault="00E74497" w:rsidP="008137EB">
      <w:pPr>
        <w:ind w:left="1440" w:hanging="720"/>
        <w:rPr>
          <w:color w:val="000000" w:themeColor="text1"/>
          <w:lang w:val="en-US"/>
        </w:rPr>
      </w:pPr>
      <w:r>
        <w:rPr>
          <w:color w:val="000000" w:themeColor="text1"/>
          <w:lang w:val="en-US"/>
        </w:rPr>
        <w:t xml:space="preserve">Ministry for the Environment. (2016). Predicted average Macroinvertebrate Community Index (MCI) score, 2007-2011. </w:t>
      </w:r>
      <w:hyperlink r:id="rId26" w:history="1">
        <w:r w:rsidRPr="000E14C1">
          <w:rPr>
            <w:rStyle w:val="Hyperlink"/>
            <w:lang w:val="en-US"/>
          </w:rPr>
          <w:t>https://data.mfe.govt.nz/layer/52713-predicted-average-macroinvertebrate-community-index-mci-score-20072011/</w:t>
        </w:r>
      </w:hyperlink>
    </w:p>
    <w:p w14:paraId="41C0B043" w14:textId="77777777" w:rsidR="0020111A" w:rsidRDefault="0020111A" w:rsidP="008137EB">
      <w:pPr>
        <w:ind w:left="1440" w:hanging="720"/>
        <w:rPr>
          <w:color w:val="000000" w:themeColor="text1"/>
          <w:lang w:val="en-US"/>
        </w:rPr>
      </w:pPr>
    </w:p>
    <w:p w14:paraId="34B13F61" w14:textId="41B56FAD" w:rsidR="00F33C46" w:rsidRDefault="00F33C46" w:rsidP="00F33C46">
      <w:pPr>
        <w:ind w:left="1440" w:hanging="720"/>
        <w:rPr>
          <w:color w:val="000000" w:themeColor="text1"/>
          <w:lang w:val="en-US"/>
        </w:rPr>
      </w:pPr>
      <w:r>
        <w:rPr>
          <w:color w:val="000000" w:themeColor="text1"/>
          <w:lang w:val="en-US"/>
        </w:rPr>
        <w:t xml:space="preserve">Koordinates. (2008). Major rivers in New Zealand. </w:t>
      </w:r>
      <w:hyperlink r:id="rId27" w:history="1">
        <w:r w:rsidRPr="000E14C1">
          <w:rPr>
            <w:rStyle w:val="Hyperlink"/>
            <w:lang w:val="en-US"/>
          </w:rPr>
          <w:t>https://koordinates.com/layer/306-nz-major-rivers/</w:t>
        </w:r>
      </w:hyperlink>
      <w:r>
        <w:rPr>
          <w:color w:val="000000" w:themeColor="text1"/>
          <w:lang w:val="en-US"/>
        </w:rPr>
        <w:t xml:space="preserve">  </w:t>
      </w:r>
    </w:p>
    <w:p w14:paraId="688A25AC" w14:textId="16D431EC" w:rsidR="00F33C46" w:rsidRDefault="00F33C46" w:rsidP="00F33C46">
      <w:pPr>
        <w:ind w:left="1440" w:hanging="720"/>
        <w:rPr>
          <w:color w:val="000000" w:themeColor="text1"/>
          <w:lang w:val="en-US"/>
        </w:rPr>
      </w:pPr>
    </w:p>
    <w:p w14:paraId="658BD691" w14:textId="0D19DCC2" w:rsidR="00F33C46" w:rsidRDefault="00F33C46" w:rsidP="00F33C46">
      <w:pPr>
        <w:ind w:left="1440" w:hanging="720"/>
        <w:rPr>
          <w:color w:val="000000" w:themeColor="text1"/>
          <w:lang w:val="en-US"/>
        </w:rPr>
      </w:pPr>
      <w:r>
        <w:rPr>
          <w:color w:val="000000" w:themeColor="text1"/>
          <w:lang w:val="en-US"/>
        </w:rPr>
        <w:t xml:space="preserve">StatsNZ Tatauranga Aotearoa. (2020). Territorial Authority 2021 (generalized). </w:t>
      </w:r>
      <w:hyperlink r:id="rId28" w:history="1">
        <w:r w:rsidRPr="000E14C1">
          <w:rPr>
            <w:rStyle w:val="Hyperlink"/>
            <w:lang w:val="en-US"/>
          </w:rPr>
          <w:t>https://datafinder.stats.govt.nz/layer/105153-territorial-authority-2021-generalised/</w:t>
        </w:r>
      </w:hyperlink>
      <w:r>
        <w:rPr>
          <w:color w:val="000000" w:themeColor="text1"/>
          <w:lang w:val="en-US"/>
        </w:rPr>
        <w:t xml:space="preserve"> </w:t>
      </w:r>
    </w:p>
    <w:p w14:paraId="3436AAC3" w14:textId="77777777" w:rsidR="00EC6E5B" w:rsidRPr="00E74497" w:rsidRDefault="00EC6E5B" w:rsidP="00F33C46">
      <w:pPr>
        <w:ind w:left="1440" w:hanging="720"/>
        <w:rPr>
          <w:color w:val="000000" w:themeColor="text1"/>
          <w:lang w:val="en-US"/>
        </w:rPr>
      </w:pPr>
    </w:p>
    <w:p w14:paraId="7BD22892" w14:textId="33E2FDFC" w:rsidR="008137EB" w:rsidRDefault="00EC6E5B" w:rsidP="000D7320">
      <w:pPr>
        <w:ind w:left="720"/>
        <w:rPr>
          <w:color w:val="000000" w:themeColor="text1"/>
          <w:lang w:val="en-US"/>
        </w:rPr>
      </w:pPr>
      <w:r>
        <w:rPr>
          <w:color w:val="000000" w:themeColor="text1"/>
          <w:lang w:val="en-US"/>
        </w:rPr>
        <w:t xml:space="preserve">Manifold Software Limited. (2021). GPKG. </w:t>
      </w:r>
      <w:hyperlink r:id="rId29" w:history="1">
        <w:r w:rsidRPr="000E14C1">
          <w:rPr>
            <w:rStyle w:val="Hyperlink"/>
            <w:lang w:val="en-US"/>
          </w:rPr>
          <w:t>https://manifold.net/doc/mfd9/gpkg.htm</w:t>
        </w:r>
      </w:hyperlink>
      <w:r>
        <w:rPr>
          <w:color w:val="000000" w:themeColor="text1"/>
          <w:lang w:val="en-US"/>
        </w:rPr>
        <w:t xml:space="preserve"> </w:t>
      </w:r>
    </w:p>
    <w:p w14:paraId="17E742F7" w14:textId="77777777" w:rsidR="00EE507F" w:rsidRPr="00D0663B" w:rsidRDefault="00EE507F" w:rsidP="000D7320">
      <w:pPr>
        <w:ind w:left="720"/>
        <w:rPr>
          <w:color w:val="000000" w:themeColor="text1"/>
          <w:lang w:val="en-US"/>
        </w:rPr>
      </w:pPr>
    </w:p>
    <w:p w14:paraId="3A383863" w14:textId="19D80F4D" w:rsidR="00DB5FC8" w:rsidRDefault="00DB5FC8" w:rsidP="000D7320">
      <w:pPr>
        <w:ind w:left="720"/>
        <w:rPr>
          <w:color w:val="000000" w:themeColor="text1"/>
          <w:lang w:val="en-US"/>
        </w:rPr>
      </w:pPr>
    </w:p>
    <w:p w14:paraId="10CFAE94" w14:textId="0A6920B0" w:rsidR="00DB5FC8" w:rsidRDefault="00DB5FC8" w:rsidP="000D7320">
      <w:pPr>
        <w:ind w:left="720"/>
        <w:rPr>
          <w:color w:val="000000" w:themeColor="text1"/>
          <w:lang w:val="en-US"/>
        </w:rPr>
      </w:pPr>
    </w:p>
    <w:p w14:paraId="70C8AA81" w14:textId="61E6031E" w:rsidR="00DB5FC8" w:rsidRDefault="00DB5FC8" w:rsidP="009D792A">
      <w:pPr>
        <w:rPr>
          <w:color w:val="000000" w:themeColor="text1"/>
          <w:lang w:val="en-US"/>
        </w:rPr>
      </w:pPr>
    </w:p>
    <w:p w14:paraId="50129055" w14:textId="77777777" w:rsidR="00CA5C20" w:rsidRPr="009D792A" w:rsidRDefault="00CA5C20" w:rsidP="009D792A">
      <w:pPr>
        <w:rPr>
          <w:color w:val="000000" w:themeColor="text1"/>
          <w:lang w:val="en-US"/>
        </w:rPr>
      </w:pPr>
    </w:p>
    <w:sectPr w:rsidR="00CA5C20" w:rsidRPr="009D7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E462D"/>
    <w:multiLevelType w:val="hybridMultilevel"/>
    <w:tmpl w:val="CB46B426"/>
    <w:lvl w:ilvl="0" w:tplc="B2167368">
      <w:start w:val="1"/>
      <w:numFmt w:val="decimal"/>
      <w:lvlText w:val="%1."/>
      <w:lvlJc w:val="left"/>
      <w:pPr>
        <w:ind w:left="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344406">
      <w:start w:val="1"/>
      <w:numFmt w:val="lowerLetter"/>
      <w:lvlText w:val="%2"/>
      <w:lvlJc w:val="left"/>
      <w:pPr>
        <w:ind w:left="2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FED0AE">
      <w:start w:val="1"/>
      <w:numFmt w:val="lowerRoman"/>
      <w:lvlText w:val="%3"/>
      <w:lvlJc w:val="left"/>
      <w:pPr>
        <w:ind w:left="3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2C7328">
      <w:start w:val="1"/>
      <w:numFmt w:val="decimal"/>
      <w:lvlText w:val="%4"/>
      <w:lvlJc w:val="left"/>
      <w:pPr>
        <w:ind w:left="4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F68420">
      <w:start w:val="1"/>
      <w:numFmt w:val="lowerLetter"/>
      <w:lvlText w:val="%5"/>
      <w:lvlJc w:val="left"/>
      <w:pPr>
        <w:ind w:left="4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0E96EC">
      <w:start w:val="1"/>
      <w:numFmt w:val="lowerRoman"/>
      <w:lvlText w:val="%6"/>
      <w:lvlJc w:val="left"/>
      <w:pPr>
        <w:ind w:left="5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3E7334">
      <w:start w:val="1"/>
      <w:numFmt w:val="decimal"/>
      <w:lvlText w:val="%7"/>
      <w:lvlJc w:val="left"/>
      <w:pPr>
        <w:ind w:left="6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48FE24">
      <w:start w:val="1"/>
      <w:numFmt w:val="lowerLetter"/>
      <w:lvlText w:val="%8"/>
      <w:lvlJc w:val="left"/>
      <w:pPr>
        <w:ind w:left="7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3C2B34">
      <w:start w:val="1"/>
      <w:numFmt w:val="lowerRoman"/>
      <w:lvlText w:val="%9"/>
      <w:lvlJc w:val="left"/>
      <w:pPr>
        <w:ind w:left="7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CAA5C6D"/>
    <w:multiLevelType w:val="hybridMultilevel"/>
    <w:tmpl w:val="80EED048"/>
    <w:lvl w:ilvl="0" w:tplc="180CE6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2E"/>
    <w:rsid w:val="000067A8"/>
    <w:rsid w:val="00020937"/>
    <w:rsid w:val="000209E7"/>
    <w:rsid w:val="00060E7F"/>
    <w:rsid w:val="00074569"/>
    <w:rsid w:val="0008233C"/>
    <w:rsid w:val="000A0605"/>
    <w:rsid w:val="000A52EB"/>
    <w:rsid w:val="000A6E6D"/>
    <w:rsid w:val="000C3685"/>
    <w:rsid w:val="000D7320"/>
    <w:rsid w:val="00120750"/>
    <w:rsid w:val="00130A61"/>
    <w:rsid w:val="001321B8"/>
    <w:rsid w:val="00170B5D"/>
    <w:rsid w:val="0018792E"/>
    <w:rsid w:val="00193DF9"/>
    <w:rsid w:val="00197186"/>
    <w:rsid w:val="001A512A"/>
    <w:rsid w:val="001B3D09"/>
    <w:rsid w:val="001D2B46"/>
    <w:rsid w:val="001D4816"/>
    <w:rsid w:val="001E6C1D"/>
    <w:rsid w:val="0020111A"/>
    <w:rsid w:val="00224649"/>
    <w:rsid w:val="00240B00"/>
    <w:rsid w:val="00262AD7"/>
    <w:rsid w:val="00264A05"/>
    <w:rsid w:val="002769D0"/>
    <w:rsid w:val="002B235E"/>
    <w:rsid w:val="002B4EEA"/>
    <w:rsid w:val="002B7937"/>
    <w:rsid w:val="002D006F"/>
    <w:rsid w:val="002E2282"/>
    <w:rsid w:val="00316890"/>
    <w:rsid w:val="0035244B"/>
    <w:rsid w:val="003639F2"/>
    <w:rsid w:val="003A5914"/>
    <w:rsid w:val="003D4DC8"/>
    <w:rsid w:val="003D502A"/>
    <w:rsid w:val="0040513B"/>
    <w:rsid w:val="0041223D"/>
    <w:rsid w:val="00425259"/>
    <w:rsid w:val="00426724"/>
    <w:rsid w:val="00435FA9"/>
    <w:rsid w:val="0043770F"/>
    <w:rsid w:val="00444FCB"/>
    <w:rsid w:val="00454868"/>
    <w:rsid w:val="00456591"/>
    <w:rsid w:val="004C6B8F"/>
    <w:rsid w:val="004D2CD3"/>
    <w:rsid w:val="004D729A"/>
    <w:rsid w:val="004E29EF"/>
    <w:rsid w:val="004F359C"/>
    <w:rsid w:val="00584291"/>
    <w:rsid w:val="005A32E8"/>
    <w:rsid w:val="005B22C1"/>
    <w:rsid w:val="005B620D"/>
    <w:rsid w:val="005C1D7C"/>
    <w:rsid w:val="005C3EAF"/>
    <w:rsid w:val="005F1341"/>
    <w:rsid w:val="005F498C"/>
    <w:rsid w:val="00600D22"/>
    <w:rsid w:val="006116E6"/>
    <w:rsid w:val="006130A2"/>
    <w:rsid w:val="00624396"/>
    <w:rsid w:val="00630924"/>
    <w:rsid w:val="00645B93"/>
    <w:rsid w:val="00674B8E"/>
    <w:rsid w:val="006C2F01"/>
    <w:rsid w:val="006D4E84"/>
    <w:rsid w:val="006E3966"/>
    <w:rsid w:val="007051D0"/>
    <w:rsid w:val="00741958"/>
    <w:rsid w:val="0074304D"/>
    <w:rsid w:val="007475F3"/>
    <w:rsid w:val="00754BCC"/>
    <w:rsid w:val="00776EEF"/>
    <w:rsid w:val="00781B03"/>
    <w:rsid w:val="007C3984"/>
    <w:rsid w:val="007E27C2"/>
    <w:rsid w:val="0080051A"/>
    <w:rsid w:val="008137EB"/>
    <w:rsid w:val="00821DAE"/>
    <w:rsid w:val="0083666A"/>
    <w:rsid w:val="00844D72"/>
    <w:rsid w:val="008475B5"/>
    <w:rsid w:val="0085476A"/>
    <w:rsid w:val="008753D9"/>
    <w:rsid w:val="00886B61"/>
    <w:rsid w:val="008C024A"/>
    <w:rsid w:val="008C17FE"/>
    <w:rsid w:val="008C31A0"/>
    <w:rsid w:val="008F794E"/>
    <w:rsid w:val="00915FE0"/>
    <w:rsid w:val="00926994"/>
    <w:rsid w:val="009518C2"/>
    <w:rsid w:val="009576EF"/>
    <w:rsid w:val="009653CD"/>
    <w:rsid w:val="00967E14"/>
    <w:rsid w:val="009744B6"/>
    <w:rsid w:val="009748F0"/>
    <w:rsid w:val="009824A4"/>
    <w:rsid w:val="00986D5A"/>
    <w:rsid w:val="00990467"/>
    <w:rsid w:val="009961BA"/>
    <w:rsid w:val="009A261D"/>
    <w:rsid w:val="009B3900"/>
    <w:rsid w:val="009B493F"/>
    <w:rsid w:val="009B4954"/>
    <w:rsid w:val="009C0D2D"/>
    <w:rsid w:val="009D792A"/>
    <w:rsid w:val="009E006A"/>
    <w:rsid w:val="00A06B75"/>
    <w:rsid w:val="00A30797"/>
    <w:rsid w:val="00A5241B"/>
    <w:rsid w:val="00A54CBF"/>
    <w:rsid w:val="00A56842"/>
    <w:rsid w:val="00A73FD1"/>
    <w:rsid w:val="00AA6522"/>
    <w:rsid w:val="00AB79D5"/>
    <w:rsid w:val="00AC5A54"/>
    <w:rsid w:val="00AF1469"/>
    <w:rsid w:val="00B07F7A"/>
    <w:rsid w:val="00B17618"/>
    <w:rsid w:val="00B24398"/>
    <w:rsid w:val="00B3052E"/>
    <w:rsid w:val="00B3330F"/>
    <w:rsid w:val="00B67B11"/>
    <w:rsid w:val="00B7354B"/>
    <w:rsid w:val="00B770D3"/>
    <w:rsid w:val="00BA0B99"/>
    <w:rsid w:val="00BA5A31"/>
    <w:rsid w:val="00BC2C4F"/>
    <w:rsid w:val="00BD1874"/>
    <w:rsid w:val="00BE6F54"/>
    <w:rsid w:val="00BF2516"/>
    <w:rsid w:val="00BF2A5C"/>
    <w:rsid w:val="00C16121"/>
    <w:rsid w:val="00C371B7"/>
    <w:rsid w:val="00C718CF"/>
    <w:rsid w:val="00C94F7E"/>
    <w:rsid w:val="00CA5C20"/>
    <w:rsid w:val="00CB7234"/>
    <w:rsid w:val="00CC25BD"/>
    <w:rsid w:val="00CC7B74"/>
    <w:rsid w:val="00CE1C91"/>
    <w:rsid w:val="00D0018D"/>
    <w:rsid w:val="00D0663B"/>
    <w:rsid w:val="00D23D9B"/>
    <w:rsid w:val="00D33471"/>
    <w:rsid w:val="00D650F9"/>
    <w:rsid w:val="00D74A2A"/>
    <w:rsid w:val="00DA20B3"/>
    <w:rsid w:val="00DA29B4"/>
    <w:rsid w:val="00DB5FC8"/>
    <w:rsid w:val="00DE7454"/>
    <w:rsid w:val="00DF6652"/>
    <w:rsid w:val="00E137FD"/>
    <w:rsid w:val="00E551CE"/>
    <w:rsid w:val="00E57814"/>
    <w:rsid w:val="00E6589B"/>
    <w:rsid w:val="00E659F8"/>
    <w:rsid w:val="00E74497"/>
    <w:rsid w:val="00E76ADB"/>
    <w:rsid w:val="00E9634F"/>
    <w:rsid w:val="00EA7593"/>
    <w:rsid w:val="00EB385E"/>
    <w:rsid w:val="00EC6E5B"/>
    <w:rsid w:val="00EE507F"/>
    <w:rsid w:val="00F26E9C"/>
    <w:rsid w:val="00F33C46"/>
    <w:rsid w:val="00F54022"/>
    <w:rsid w:val="00F607E2"/>
    <w:rsid w:val="00F74D19"/>
    <w:rsid w:val="00F80F04"/>
    <w:rsid w:val="00F972F3"/>
    <w:rsid w:val="00FC4C4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05DF481"/>
  <w15:chartTrackingRefBased/>
  <w15:docId w15:val="{71083B24-EC28-E844-8DA6-4A5937B3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F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4B6"/>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9744B6"/>
  </w:style>
  <w:style w:type="table" w:styleId="TableGrid">
    <w:name w:val="Table Grid"/>
    <w:basedOn w:val="TableNormal"/>
    <w:uiPriority w:val="39"/>
    <w:rsid w:val="00412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5FC8"/>
    <w:rPr>
      <w:color w:val="0563C1" w:themeColor="hyperlink"/>
      <w:u w:val="single"/>
    </w:rPr>
  </w:style>
  <w:style w:type="character" w:styleId="UnresolvedMention">
    <w:name w:val="Unresolved Mention"/>
    <w:basedOn w:val="DefaultParagraphFont"/>
    <w:uiPriority w:val="99"/>
    <w:semiHidden/>
    <w:unhideWhenUsed/>
    <w:rsid w:val="00DB5FC8"/>
    <w:rPr>
      <w:color w:val="605E5C"/>
      <w:shd w:val="clear" w:color="auto" w:fill="E1DFDD"/>
    </w:rPr>
  </w:style>
  <w:style w:type="character" w:styleId="FollowedHyperlink">
    <w:name w:val="FollowedHyperlink"/>
    <w:basedOn w:val="DefaultParagraphFont"/>
    <w:uiPriority w:val="99"/>
    <w:semiHidden/>
    <w:unhideWhenUsed/>
    <w:rsid w:val="008137EB"/>
    <w:rPr>
      <w:color w:val="954F72" w:themeColor="followedHyperlink"/>
      <w:u w:val="single"/>
    </w:rPr>
  </w:style>
  <w:style w:type="table" w:customStyle="1" w:styleId="TableGrid0">
    <w:name w:val="TableGrid"/>
    <w:rsid w:val="008F794E"/>
    <w:rPr>
      <w:rFonts w:eastAsiaTheme="minorEastAsia"/>
      <w:sz w:val="22"/>
      <w:szCs w:val="22"/>
      <w:lang w:eastAsia="en-NZ"/>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A0605"/>
    <w:rPr>
      <w:sz w:val="16"/>
      <w:szCs w:val="16"/>
    </w:rPr>
  </w:style>
  <w:style w:type="paragraph" w:styleId="CommentText">
    <w:name w:val="annotation text"/>
    <w:basedOn w:val="Normal"/>
    <w:link w:val="CommentTextChar"/>
    <w:uiPriority w:val="99"/>
    <w:semiHidden/>
    <w:unhideWhenUsed/>
    <w:rsid w:val="000A0605"/>
    <w:rPr>
      <w:sz w:val="20"/>
      <w:szCs w:val="20"/>
    </w:rPr>
  </w:style>
  <w:style w:type="character" w:customStyle="1" w:styleId="CommentTextChar">
    <w:name w:val="Comment Text Char"/>
    <w:basedOn w:val="DefaultParagraphFont"/>
    <w:link w:val="CommentText"/>
    <w:uiPriority w:val="99"/>
    <w:semiHidden/>
    <w:rsid w:val="000A060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3403">
      <w:bodyDiv w:val="1"/>
      <w:marLeft w:val="0"/>
      <w:marRight w:val="0"/>
      <w:marTop w:val="0"/>
      <w:marBottom w:val="0"/>
      <w:divBdr>
        <w:top w:val="none" w:sz="0" w:space="0" w:color="auto"/>
        <w:left w:val="none" w:sz="0" w:space="0" w:color="auto"/>
        <w:bottom w:val="none" w:sz="0" w:space="0" w:color="auto"/>
        <w:right w:val="none" w:sz="0" w:space="0" w:color="auto"/>
      </w:divBdr>
    </w:div>
    <w:div w:id="251209905">
      <w:bodyDiv w:val="1"/>
      <w:marLeft w:val="0"/>
      <w:marRight w:val="0"/>
      <w:marTop w:val="0"/>
      <w:marBottom w:val="0"/>
      <w:divBdr>
        <w:top w:val="none" w:sz="0" w:space="0" w:color="auto"/>
        <w:left w:val="none" w:sz="0" w:space="0" w:color="auto"/>
        <w:bottom w:val="none" w:sz="0" w:space="0" w:color="auto"/>
        <w:right w:val="none" w:sz="0" w:space="0" w:color="auto"/>
      </w:divBdr>
    </w:div>
    <w:div w:id="287126818">
      <w:bodyDiv w:val="1"/>
      <w:marLeft w:val="0"/>
      <w:marRight w:val="0"/>
      <w:marTop w:val="0"/>
      <w:marBottom w:val="0"/>
      <w:divBdr>
        <w:top w:val="none" w:sz="0" w:space="0" w:color="auto"/>
        <w:left w:val="none" w:sz="0" w:space="0" w:color="auto"/>
        <w:bottom w:val="none" w:sz="0" w:space="0" w:color="auto"/>
        <w:right w:val="none" w:sz="0" w:space="0" w:color="auto"/>
      </w:divBdr>
    </w:div>
    <w:div w:id="447626293">
      <w:bodyDiv w:val="1"/>
      <w:marLeft w:val="0"/>
      <w:marRight w:val="0"/>
      <w:marTop w:val="0"/>
      <w:marBottom w:val="0"/>
      <w:divBdr>
        <w:top w:val="none" w:sz="0" w:space="0" w:color="auto"/>
        <w:left w:val="none" w:sz="0" w:space="0" w:color="auto"/>
        <w:bottom w:val="none" w:sz="0" w:space="0" w:color="auto"/>
        <w:right w:val="none" w:sz="0" w:space="0" w:color="auto"/>
      </w:divBdr>
    </w:div>
    <w:div w:id="511997728">
      <w:bodyDiv w:val="1"/>
      <w:marLeft w:val="0"/>
      <w:marRight w:val="0"/>
      <w:marTop w:val="0"/>
      <w:marBottom w:val="0"/>
      <w:divBdr>
        <w:top w:val="none" w:sz="0" w:space="0" w:color="auto"/>
        <w:left w:val="none" w:sz="0" w:space="0" w:color="auto"/>
        <w:bottom w:val="none" w:sz="0" w:space="0" w:color="auto"/>
        <w:right w:val="none" w:sz="0" w:space="0" w:color="auto"/>
      </w:divBdr>
    </w:div>
    <w:div w:id="1049763773">
      <w:bodyDiv w:val="1"/>
      <w:marLeft w:val="0"/>
      <w:marRight w:val="0"/>
      <w:marTop w:val="0"/>
      <w:marBottom w:val="0"/>
      <w:divBdr>
        <w:top w:val="none" w:sz="0" w:space="0" w:color="auto"/>
        <w:left w:val="none" w:sz="0" w:space="0" w:color="auto"/>
        <w:bottom w:val="none" w:sz="0" w:space="0" w:color="auto"/>
        <w:right w:val="none" w:sz="0" w:space="0" w:color="auto"/>
      </w:divBdr>
    </w:div>
    <w:div w:id="1062555529">
      <w:bodyDiv w:val="1"/>
      <w:marLeft w:val="0"/>
      <w:marRight w:val="0"/>
      <w:marTop w:val="0"/>
      <w:marBottom w:val="0"/>
      <w:divBdr>
        <w:top w:val="none" w:sz="0" w:space="0" w:color="auto"/>
        <w:left w:val="none" w:sz="0" w:space="0" w:color="auto"/>
        <w:bottom w:val="none" w:sz="0" w:space="0" w:color="auto"/>
        <w:right w:val="none" w:sz="0" w:space="0" w:color="auto"/>
      </w:divBdr>
    </w:div>
    <w:div w:id="1179201827">
      <w:bodyDiv w:val="1"/>
      <w:marLeft w:val="0"/>
      <w:marRight w:val="0"/>
      <w:marTop w:val="0"/>
      <w:marBottom w:val="0"/>
      <w:divBdr>
        <w:top w:val="none" w:sz="0" w:space="0" w:color="auto"/>
        <w:left w:val="none" w:sz="0" w:space="0" w:color="auto"/>
        <w:bottom w:val="none" w:sz="0" w:space="0" w:color="auto"/>
        <w:right w:val="none" w:sz="0" w:space="0" w:color="auto"/>
      </w:divBdr>
    </w:div>
    <w:div w:id="1354065010">
      <w:bodyDiv w:val="1"/>
      <w:marLeft w:val="0"/>
      <w:marRight w:val="0"/>
      <w:marTop w:val="0"/>
      <w:marBottom w:val="0"/>
      <w:divBdr>
        <w:top w:val="none" w:sz="0" w:space="0" w:color="auto"/>
        <w:left w:val="none" w:sz="0" w:space="0" w:color="auto"/>
        <w:bottom w:val="none" w:sz="0" w:space="0" w:color="auto"/>
        <w:right w:val="none" w:sz="0" w:space="0" w:color="auto"/>
      </w:divBdr>
    </w:div>
    <w:div w:id="1587766330">
      <w:bodyDiv w:val="1"/>
      <w:marLeft w:val="0"/>
      <w:marRight w:val="0"/>
      <w:marTop w:val="0"/>
      <w:marBottom w:val="0"/>
      <w:divBdr>
        <w:top w:val="none" w:sz="0" w:space="0" w:color="auto"/>
        <w:left w:val="none" w:sz="0" w:space="0" w:color="auto"/>
        <w:bottom w:val="none" w:sz="0" w:space="0" w:color="auto"/>
        <w:right w:val="none" w:sz="0" w:space="0" w:color="auto"/>
      </w:divBdr>
    </w:div>
    <w:div w:id="1590655705">
      <w:bodyDiv w:val="1"/>
      <w:marLeft w:val="0"/>
      <w:marRight w:val="0"/>
      <w:marTop w:val="0"/>
      <w:marBottom w:val="0"/>
      <w:divBdr>
        <w:top w:val="none" w:sz="0" w:space="0" w:color="auto"/>
        <w:left w:val="none" w:sz="0" w:space="0" w:color="auto"/>
        <w:bottom w:val="none" w:sz="0" w:space="0" w:color="auto"/>
        <w:right w:val="none" w:sz="0" w:space="0" w:color="auto"/>
      </w:divBdr>
    </w:div>
    <w:div w:id="170081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terbury.ac.nz/ucpolicy/GetPolicy.aspx?file=Academic-Integrity-Guidance-For-Staff-And-Students.pdf" TargetMode="External"/><Relationship Id="rId13" Type="http://schemas.openxmlformats.org/officeDocument/2006/relationships/hyperlink" Target="http://www.canterbury.ac.nz/ucpolicy/GetPolicy.aspx?file=Academic-Integrity-Guidance-For-Staff-And-Students.pdf" TargetMode="External"/><Relationship Id="rId18" Type="http://schemas.openxmlformats.org/officeDocument/2006/relationships/hyperlink" Target="http://www.canterbury.ac.nz/ucpolicy/GetPolicy.aspx?file=Academic-Integrity-Guidance-For-Staff-And-Students.pdf" TargetMode="External"/><Relationship Id="rId26" Type="http://schemas.openxmlformats.org/officeDocument/2006/relationships/hyperlink" Target="https://data.mfe.govt.nz/layer/52713-predicted-average-macroinvertebrate-community-index-mci-score-20072011/"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www.canterbury.ac.nz/ucpolicy/GetPolicy.aspx?file=Academic-Integrity-Guidance-For-Staff-And-Students.pdf" TargetMode="External"/><Relationship Id="rId12" Type="http://schemas.openxmlformats.org/officeDocument/2006/relationships/hyperlink" Target="http://www.canterbury.ac.nz/ucpolicy/GetPolicy.aspx?file=Academic-Integrity-Guidance-For-Staff-And-Students.pdf" TargetMode="External"/><Relationship Id="rId17" Type="http://schemas.openxmlformats.org/officeDocument/2006/relationships/hyperlink" Target="http://www.canterbury.ac.nz/ucpolicy/GetPolicy.aspx?file=Academic-Integrity-Guidance-For-Staff-And-Students.pdf" TargetMode="External"/><Relationship Id="rId25" Type="http://schemas.openxmlformats.org/officeDocument/2006/relationships/hyperlink" Target="https://www.lawa.org.nz/learn/factsheets/benthic-macroinvertebrates/" TargetMode="External"/><Relationship Id="rId2" Type="http://schemas.openxmlformats.org/officeDocument/2006/relationships/styles" Target="styles.xml"/><Relationship Id="rId16" Type="http://schemas.openxmlformats.org/officeDocument/2006/relationships/hyperlink" Target="http://www.canterbury.ac.nz/ucpolicy/GetPolicy.aspx?file=Academic-Integrity-Guidance-For-Staff-And-Students.pdf" TargetMode="External"/><Relationship Id="rId20" Type="http://schemas.openxmlformats.org/officeDocument/2006/relationships/image" Target="media/image2.png"/><Relationship Id="rId29" Type="http://schemas.openxmlformats.org/officeDocument/2006/relationships/hyperlink" Target="https://manifold.net/doc/mfd9/gpkg.htm" TargetMode="External"/><Relationship Id="rId1" Type="http://schemas.openxmlformats.org/officeDocument/2006/relationships/numbering" Target="numbering.xml"/><Relationship Id="rId6" Type="http://schemas.openxmlformats.org/officeDocument/2006/relationships/hyperlink" Target="http://www.canterbury.ac.nz/ucpolicy/GetPolicy.aspx?file=Academic-Integrity-Guidance-For-Staff-And-Students.pdf" TargetMode="External"/><Relationship Id="rId11" Type="http://schemas.openxmlformats.org/officeDocument/2006/relationships/hyperlink" Target="http://www.canterbury.ac.nz/ucpolicy/GetPolicy.aspx?file=Academic-Integrity-Guidance-For-Staff-And-Students.pdf" TargetMode="External"/><Relationship Id="rId24" Type="http://schemas.openxmlformats.org/officeDocument/2006/relationships/hyperlink" Target="https://environment.govt.nz/assets/Acts-regs-and-policy-statements/rec-user-guide-2010.pdf" TargetMode="External"/><Relationship Id="rId5" Type="http://schemas.openxmlformats.org/officeDocument/2006/relationships/hyperlink" Target="http://www.canterbury.ac.nz/ucpolicy/GetPolicy.aspx?file=Academic" TargetMode="External"/><Relationship Id="rId15" Type="http://schemas.openxmlformats.org/officeDocument/2006/relationships/hyperlink" Target="http://www.canterbury.ac.nz/ucpolicy/GetPolicy.aspx?file=Academic-Integrity-Guidance-For-Staff-And-Students.pdf" TargetMode="External"/><Relationship Id="rId23" Type="http://schemas.openxmlformats.org/officeDocument/2006/relationships/hyperlink" Target="https://www.stats.govt.nz/indicators/river-water-quality-macroinvertebrate-community-index" TargetMode="External"/><Relationship Id="rId28" Type="http://schemas.openxmlformats.org/officeDocument/2006/relationships/hyperlink" Target="https://datafinder.stats.govt.nz/layer/105153-territorial-authority-2021-generalised/" TargetMode="External"/><Relationship Id="rId10" Type="http://schemas.openxmlformats.org/officeDocument/2006/relationships/hyperlink" Target="http://www.canterbury.ac.nz/ucpolicy/GetPolicy.aspx?file=Academic-Integrity-Guidance-For-Staff-And-Students.pdf"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anterbury.ac.nz/ucpolicy/GetPolicy.aspx?file=Academic-Integrity-Guidance-For-Staff-And-Students.pdf" TargetMode="External"/><Relationship Id="rId14" Type="http://schemas.openxmlformats.org/officeDocument/2006/relationships/hyperlink" Target="http://www.canterbury.ac.nz/ucpolicy/GetPolicy.aspx?file=Academic-Integrity-Guidance-For-Staff-And-Students.pdf" TargetMode="External"/><Relationship Id="rId22" Type="http://schemas.openxmlformats.org/officeDocument/2006/relationships/image" Target="media/image4.png"/><Relationship Id="rId27" Type="http://schemas.openxmlformats.org/officeDocument/2006/relationships/hyperlink" Target="https://koordinates.com/layer/306-nz-major-rive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Bernard Velano</dc:creator>
  <cp:keywords/>
  <dc:description/>
  <cp:lastModifiedBy>Moses Bernard Velano</cp:lastModifiedBy>
  <cp:revision>8</cp:revision>
  <dcterms:created xsi:type="dcterms:W3CDTF">2021-10-18T22:45:00Z</dcterms:created>
  <dcterms:modified xsi:type="dcterms:W3CDTF">2021-10-21T14:54:00Z</dcterms:modified>
</cp:coreProperties>
</file>