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BD1B" w14:textId="77777777" w:rsidR="00E41FBE" w:rsidRPr="00E41FBE" w:rsidRDefault="00E41FBE" w:rsidP="00E41FBE">
      <w:pPr>
        <w:rPr>
          <w:lang w:val="en-KE"/>
        </w:rPr>
      </w:pPr>
      <w:r w:rsidRPr="00E41FBE">
        <w:rPr>
          <w:lang w:val="en-KE"/>
        </w:rPr>
        <w:t xml:space="preserve">This project leverages a large-scale e-commerce dataset (up to 250,000 rows and ~38 columns) to gain insights into customer </w:t>
      </w:r>
      <w:proofErr w:type="spellStart"/>
      <w:r w:rsidRPr="00E41FBE">
        <w:rPr>
          <w:lang w:val="en-KE"/>
        </w:rPr>
        <w:t>behavior</w:t>
      </w:r>
      <w:proofErr w:type="spellEnd"/>
      <w:r w:rsidRPr="00E41FBE">
        <w:rPr>
          <w:lang w:val="en-KE"/>
        </w:rPr>
        <w:t>, segment users, and predict churn. The work was divided into three main notebooks:</w:t>
      </w:r>
    </w:p>
    <w:p w14:paraId="5089AD11" w14:textId="77777777" w:rsidR="00E41FBE" w:rsidRPr="00E41FBE" w:rsidRDefault="00E41FBE" w:rsidP="00E41FBE">
      <w:pPr>
        <w:numPr>
          <w:ilvl w:val="0"/>
          <w:numId w:val="1"/>
        </w:numPr>
        <w:rPr>
          <w:lang w:val="en-KE"/>
        </w:rPr>
      </w:pPr>
      <w:r w:rsidRPr="00E41FBE">
        <w:rPr>
          <w:b/>
          <w:bCs/>
          <w:lang w:val="en-KE"/>
        </w:rPr>
        <w:t>Data Cleaning &amp; Exploratory Analysis (01_data_cleaning_and_</w:t>
      </w:r>
      <w:proofErr w:type="gramStart"/>
      <w:r w:rsidRPr="00E41FBE">
        <w:rPr>
          <w:b/>
          <w:bCs/>
          <w:lang w:val="en-KE"/>
        </w:rPr>
        <w:t>eda.ipynb</w:t>
      </w:r>
      <w:proofErr w:type="gramEnd"/>
      <w:r w:rsidRPr="00E41FBE">
        <w:rPr>
          <w:b/>
          <w:bCs/>
          <w:lang w:val="en-KE"/>
        </w:rPr>
        <w:t>)</w:t>
      </w:r>
      <w:r w:rsidRPr="00E41FBE">
        <w:rPr>
          <w:lang w:val="en-KE"/>
        </w:rPr>
        <w:br/>
        <w:t>Initial tasks focused on ensuring data quality, including recalculating total prices where inconsistencies were found and addressing missing entries (particularly for returns). The dataset contained demographics (e.g., Gender, Age), transactional attributes (Quantity, Price, Total Price, Returns), and a binary Churn indicator. Exploratory data analysis (EDA) revealed nearly balanced gender representation and a ~20% churn rate across most categories. Age distribution ranged primarily between 30 and 60, while product returns hovered around ~20%, suggesting potential quality or fit issues in categories like Clothing. Time series analyses showed sales spikes in August and December, implying seasonal strategies might drive revenue.</w:t>
      </w:r>
    </w:p>
    <w:p w14:paraId="4CC15378" w14:textId="77777777" w:rsidR="00E41FBE" w:rsidRPr="00E41FBE" w:rsidRDefault="00E41FBE" w:rsidP="00E41FBE">
      <w:pPr>
        <w:numPr>
          <w:ilvl w:val="0"/>
          <w:numId w:val="1"/>
        </w:numPr>
        <w:rPr>
          <w:lang w:val="en-KE"/>
        </w:rPr>
      </w:pPr>
      <w:r w:rsidRPr="00E41FBE">
        <w:rPr>
          <w:b/>
          <w:bCs/>
          <w:lang w:val="en-KE"/>
        </w:rPr>
        <w:t>Segmentation (02_</w:t>
      </w:r>
      <w:proofErr w:type="gramStart"/>
      <w:r w:rsidRPr="00E41FBE">
        <w:rPr>
          <w:b/>
          <w:bCs/>
          <w:lang w:val="en-KE"/>
        </w:rPr>
        <w:t>segmentation.ipynb</w:t>
      </w:r>
      <w:proofErr w:type="gramEnd"/>
      <w:r w:rsidRPr="00E41FBE">
        <w:rPr>
          <w:b/>
          <w:bCs/>
          <w:lang w:val="en-KE"/>
        </w:rPr>
        <w:t>)</w:t>
      </w:r>
      <w:r w:rsidRPr="00E41FBE">
        <w:rPr>
          <w:lang w:val="en-KE"/>
        </w:rPr>
        <w:br/>
        <w:t xml:space="preserve">Building on the cleaned dataset, the second phase employed two approaches: </w:t>
      </w:r>
      <w:r w:rsidRPr="00E41FBE">
        <w:rPr>
          <w:b/>
          <w:bCs/>
          <w:lang w:val="en-KE"/>
        </w:rPr>
        <w:t>RFM</w:t>
      </w:r>
      <w:r w:rsidRPr="00E41FBE">
        <w:rPr>
          <w:lang w:val="en-KE"/>
        </w:rPr>
        <w:t xml:space="preserve"> (Recency, Frequency, Monetary) and </w:t>
      </w:r>
      <w:r w:rsidRPr="00E41FBE">
        <w:rPr>
          <w:b/>
          <w:bCs/>
          <w:lang w:val="en-KE"/>
        </w:rPr>
        <w:t>CLTV</w:t>
      </w:r>
      <w:r w:rsidRPr="00E41FBE">
        <w:rPr>
          <w:lang w:val="en-KE"/>
        </w:rPr>
        <w:t xml:space="preserve"> (Customer Lifetime Value). RFM scoring resulted in distinct segments such as “Champions,” “Loyal Customers,” “Lost Low Value,” and “Need Attention.” In parallel, CLTV-based segmentation divided customers into “Bronze,” “Silver,” “Gold,” and “Platinum.” The largest RFM group, “Lost Low Value,” consisted of ~11,221 customers who had long gaps since last purchase and minimal spending. Meanwhile, “Champions” (8,110) were engaged and actively buying. CLTV rankings spanned average values around $1,178, with “Platinum” occupying the top quartile. These analyses helped clarify which segments required a win-back strategy (e.g., “Lost Champions”) or premium marketing efforts (e.g., “Platinum”).</w:t>
      </w:r>
    </w:p>
    <w:p w14:paraId="2FAC0AD2" w14:textId="79792951" w:rsidR="00E41FBE" w:rsidRPr="00E41FBE" w:rsidRDefault="00E41FBE" w:rsidP="00E41FBE">
      <w:pPr>
        <w:numPr>
          <w:ilvl w:val="0"/>
          <w:numId w:val="1"/>
        </w:numPr>
        <w:rPr>
          <w:lang w:val="en-KE"/>
        </w:rPr>
      </w:pPr>
      <w:r w:rsidRPr="00E41FBE">
        <w:rPr>
          <w:b/>
          <w:bCs/>
          <w:lang w:val="en-KE"/>
        </w:rPr>
        <w:t xml:space="preserve">Churn </w:t>
      </w:r>
      <w:proofErr w:type="spellStart"/>
      <w:r w:rsidRPr="00E41FBE">
        <w:rPr>
          <w:b/>
          <w:bCs/>
          <w:lang w:val="en-KE"/>
        </w:rPr>
        <w:t>Modeling</w:t>
      </w:r>
      <w:proofErr w:type="spellEnd"/>
      <w:r w:rsidRPr="00E41FBE">
        <w:rPr>
          <w:b/>
          <w:bCs/>
          <w:lang w:val="en-KE"/>
        </w:rPr>
        <w:t xml:space="preserve"> (03_churn_</w:t>
      </w:r>
      <w:proofErr w:type="gramStart"/>
      <w:r w:rsidRPr="00E41FBE">
        <w:rPr>
          <w:b/>
          <w:bCs/>
          <w:lang w:val="en-KE"/>
        </w:rPr>
        <w:t>modeling.ipynb</w:t>
      </w:r>
      <w:proofErr w:type="gramEnd"/>
      <w:r w:rsidRPr="00E41FBE">
        <w:rPr>
          <w:b/>
          <w:bCs/>
          <w:lang w:val="en-KE"/>
        </w:rPr>
        <w:t>)</w:t>
      </w:r>
      <w:r w:rsidRPr="00E41FBE">
        <w:rPr>
          <w:lang w:val="en-KE"/>
        </w:rPr>
        <w:br/>
        <w:t xml:space="preserve">Finally, a predictive churn model was developed to identify at-risk customers. The ~20% churn rate necessitated imbalanced data handling (e.g., SMOTE) before training classifiers—Logistic Regression, Random Forest, </w:t>
      </w:r>
      <w:proofErr w:type="spellStart"/>
      <w:r w:rsidRPr="00E41FBE">
        <w:rPr>
          <w:lang w:val="en-KE"/>
        </w:rPr>
        <w:t>XGBoost</w:t>
      </w:r>
      <w:proofErr w:type="spellEnd"/>
      <w:r w:rsidRPr="00E41FBE">
        <w:rPr>
          <w:lang w:val="en-KE"/>
        </w:rPr>
        <w:t>, and a simple Neural Network. Random Forest emerged as the strongest conventional model (≈81% accuracy, ~2</w:t>
      </w:r>
      <w:r>
        <w:rPr>
          <w:lang w:val="en-KE"/>
        </w:rPr>
        <w:t>0</w:t>
      </w:r>
      <w:r w:rsidRPr="00E41FBE">
        <w:rPr>
          <w:lang w:val="en-KE"/>
        </w:rPr>
        <w:t>% recall for the churn class), while the Neural Network offered ~7</w:t>
      </w:r>
      <w:r>
        <w:rPr>
          <w:lang w:val="en-KE"/>
        </w:rPr>
        <w:t>9</w:t>
      </w:r>
      <w:r w:rsidRPr="00E41FBE">
        <w:rPr>
          <w:lang w:val="en-KE"/>
        </w:rPr>
        <w:t>% accuracy but lower recall for churners. Feature importance measures consistently highlighted RFM factors (Frequency, Monetary) and CLTV-related variables. This underscores the importance of historical purchasing patterns in predicting churn.</w:t>
      </w:r>
    </w:p>
    <w:p w14:paraId="7627E72A" w14:textId="77777777" w:rsidR="00E41FBE" w:rsidRPr="00E41FBE" w:rsidRDefault="00E41FBE" w:rsidP="00E41FBE">
      <w:pPr>
        <w:rPr>
          <w:b/>
          <w:bCs/>
          <w:lang w:val="en-KE"/>
        </w:rPr>
      </w:pPr>
      <w:r w:rsidRPr="00E41FBE">
        <w:rPr>
          <w:b/>
          <w:bCs/>
          <w:lang w:val="en-KE"/>
        </w:rPr>
        <w:t>Business Relevance &amp; Next Steps</w:t>
      </w:r>
    </w:p>
    <w:p w14:paraId="6BB54926" w14:textId="4AC425AC" w:rsidR="001218CB" w:rsidRDefault="00E41FBE" w:rsidP="00E41FBE">
      <w:pPr>
        <w:rPr>
          <w:lang w:val="en-KE"/>
        </w:rPr>
      </w:pPr>
      <w:r w:rsidRPr="00E41FBE">
        <w:rPr>
          <w:lang w:val="en-KE"/>
        </w:rPr>
        <w:t xml:space="preserve">Collectively, these notebooks reveal a </w:t>
      </w:r>
      <w:r w:rsidR="005F212A">
        <w:rPr>
          <w:lang w:val="en-KE"/>
        </w:rPr>
        <w:t>diverse</w:t>
      </w:r>
      <w:r w:rsidRPr="00E41FBE">
        <w:rPr>
          <w:lang w:val="en-KE"/>
        </w:rPr>
        <w:t xml:space="preserve"> view of customer </w:t>
      </w:r>
      <w:proofErr w:type="spellStart"/>
      <w:r w:rsidRPr="00E41FBE">
        <w:rPr>
          <w:lang w:val="en-KE"/>
        </w:rPr>
        <w:t>behavior</w:t>
      </w:r>
      <w:proofErr w:type="spellEnd"/>
      <w:r w:rsidRPr="00E41FBE">
        <w:rPr>
          <w:lang w:val="en-KE"/>
        </w:rPr>
        <w:t xml:space="preserve"> and provide a data-driven foundation for targeted retention programs. Key insights range from the seasonal trends in EDA to sophisticated segmentation and churn prediction. </w:t>
      </w:r>
    </w:p>
    <w:p w14:paraId="14B04E5F" w14:textId="77777777" w:rsidR="001218CB" w:rsidRDefault="00E41FBE" w:rsidP="00E41FBE">
      <w:pPr>
        <w:rPr>
          <w:lang w:val="en-KE"/>
        </w:rPr>
      </w:pPr>
      <w:r w:rsidRPr="005F212A">
        <w:rPr>
          <w:b/>
          <w:bCs/>
          <w:lang w:val="en-KE"/>
        </w:rPr>
        <w:t>Future</w:t>
      </w:r>
      <w:r w:rsidRPr="00E41FBE">
        <w:rPr>
          <w:lang w:val="en-KE"/>
        </w:rPr>
        <w:t xml:space="preserve"> </w:t>
      </w:r>
      <w:r w:rsidRPr="005F212A">
        <w:rPr>
          <w:b/>
          <w:bCs/>
          <w:lang w:val="en-KE"/>
        </w:rPr>
        <w:t>steps</w:t>
      </w:r>
      <w:r w:rsidRPr="00E41FBE">
        <w:rPr>
          <w:lang w:val="en-KE"/>
        </w:rPr>
        <w:t xml:space="preserve"> include hyperparameter tuning, interpretability analysis (via SHAP or LIME), and real-time deployment of churn alarms to prioritize outreach for high-value segments. </w:t>
      </w:r>
    </w:p>
    <w:p w14:paraId="73DC1E08" w14:textId="24C42AF2" w:rsidR="00E41FBE" w:rsidRPr="00E41FBE" w:rsidRDefault="00E41FBE" w:rsidP="00E41FBE">
      <w:pPr>
        <w:rPr>
          <w:lang w:val="en-KE"/>
        </w:rPr>
      </w:pPr>
      <w:r w:rsidRPr="00E41FBE">
        <w:rPr>
          <w:lang w:val="en-KE"/>
        </w:rPr>
        <w:t xml:space="preserve">By unifying the results of data cleaning, segmentation, and </w:t>
      </w:r>
      <w:proofErr w:type="spellStart"/>
      <w:r w:rsidRPr="00E41FBE">
        <w:rPr>
          <w:lang w:val="en-KE"/>
        </w:rPr>
        <w:t>modeling</w:t>
      </w:r>
      <w:proofErr w:type="spellEnd"/>
      <w:r w:rsidRPr="00E41FBE">
        <w:rPr>
          <w:lang w:val="en-KE"/>
        </w:rPr>
        <w:t>, the project offers a comprehensive blueprint for translating raw transactional data into actionable business strategies—boosting customer satisfaction and enhancing profitability.</w:t>
      </w:r>
    </w:p>
    <w:p w14:paraId="5740DD64" w14:textId="77777777" w:rsidR="003516DC" w:rsidRDefault="003516DC"/>
    <w:sectPr w:rsidR="003516D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A8D7" w14:textId="77777777" w:rsidR="0044675B" w:rsidRDefault="0044675B" w:rsidP="001218CB">
      <w:pPr>
        <w:spacing w:after="0" w:line="240" w:lineRule="auto"/>
      </w:pPr>
      <w:r>
        <w:separator/>
      </w:r>
    </w:p>
  </w:endnote>
  <w:endnote w:type="continuationSeparator" w:id="0">
    <w:p w14:paraId="6587A2B6" w14:textId="77777777" w:rsidR="0044675B" w:rsidRDefault="0044675B" w:rsidP="00121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87E7" w14:textId="77777777" w:rsidR="0044675B" w:rsidRDefault="0044675B" w:rsidP="001218CB">
      <w:pPr>
        <w:spacing w:after="0" w:line="240" w:lineRule="auto"/>
      </w:pPr>
      <w:r>
        <w:separator/>
      </w:r>
    </w:p>
  </w:footnote>
  <w:footnote w:type="continuationSeparator" w:id="0">
    <w:p w14:paraId="20ECBFE3" w14:textId="77777777" w:rsidR="0044675B" w:rsidRDefault="0044675B" w:rsidP="00121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4709" w14:textId="42AB20C9" w:rsidR="001218CB" w:rsidRPr="001218CB" w:rsidRDefault="001218CB" w:rsidP="001218CB">
    <w:pPr>
      <w:jc w:val="center"/>
      <w:rPr>
        <w:b/>
        <w:bCs/>
        <w:sz w:val="24"/>
        <w:szCs w:val="24"/>
      </w:rPr>
    </w:pPr>
    <w:r w:rsidRPr="001218CB">
      <w:rPr>
        <w:b/>
        <w:bCs/>
        <w:sz w:val="24"/>
        <w:szCs w:val="24"/>
      </w:rPr>
      <w:t>Moses Yebei</w:t>
    </w:r>
    <w:r>
      <w:rPr>
        <w:b/>
        <w:bCs/>
        <w:sz w:val="24"/>
        <w:szCs w:val="24"/>
      </w:rPr>
      <w:t xml:space="preserve"> </w:t>
    </w:r>
    <w:proofErr w:type="gramStart"/>
    <w:r>
      <w:rPr>
        <w:b/>
        <w:bCs/>
        <w:sz w:val="24"/>
        <w:szCs w:val="24"/>
      </w:rPr>
      <w:t xml:space="preserve">- </w:t>
    </w:r>
    <w:r w:rsidRPr="001218CB">
      <w:rPr>
        <w:b/>
        <w:bCs/>
        <w:sz w:val="24"/>
        <w:szCs w:val="24"/>
      </w:rPr>
      <w:t xml:space="preserve"> </w:t>
    </w:r>
    <w:r w:rsidRPr="001218CB">
      <w:rPr>
        <w:b/>
        <w:bCs/>
        <w:sz w:val="24"/>
        <w:szCs w:val="24"/>
        <w:lang w:val="en-KE"/>
      </w:rPr>
      <w:t>E</w:t>
    </w:r>
    <w:proofErr w:type="gramEnd"/>
    <w:r w:rsidRPr="001218CB">
      <w:rPr>
        <w:b/>
        <w:bCs/>
        <w:sz w:val="24"/>
        <w:szCs w:val="24"/>
        <w:lang w:val="en-KE"/>
      </w:rPr>
      <w:t xml:space="preserve"> - Commerce Churn </w:t>
    </w:r>
    <w:proofErr w:type="spellStart"/>
    <w:r w:rsidRPr="001218CB">
      <w:rPr>
        <w:b/>
        <w:bCs/>
        <w:sz w:val="24"/>
        <w:szCs w:val="24"/>
        <w:lang w:val="en-KE"/>
      </w:rPr>
      <w:t>Modeling</w:t>
    </w:r>
    <w:proofErr w:type="spellEnd"/>
    <w:r w:rsidRPr="001218CB">
      <w:rPr>
        <w:b/>
        <w:bCs/>
        <w:sz w:val="24"/>
        <w:szCs w:val="24"/>
        <w:lang w:val="en-KE"/>
      </w:rPr>
      <w:t xml:space="preserve">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80E89"/>
    <w:multiLevelType w:val="multilevel"/>
    <w:tmpl w:val="8B9A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06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1A"/>
    <w:rsid w:val="001218CB"/>
    <w:rsid w:val="00264705"/>
    <w:rsid w:val="002A1D74"/>
    <w:rsid w:val="003516DC"/>
    <w:rsid w:val="003F56A9"/>
    <w:rsid w:val="0044675B"/>
    <w:rsid w:val="005F212A"/>
    <w:rsid w:val="006863C9"/>
    <w:rsid w:val="0079611A"/>
    <w:rsid w:val="007F6447"/>
    <w:rsid w:val="008C30B6"/>
    <w:rsid w:val="00B71E0D"/>
    <w:rsid w:val="00CD1E1C"/>
    <w:rsid w:val="00DD63ED"/>
    <w:rsid w:val="00E41F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7E42"/>
  <w15:chartTrackingRefBased/>
  <w15:docId w15:val="{81180BDF-ED78-44F9-99BC-54A1161C5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8CB"/>
    <w:rPr>
      <w:lang w:val="en-US"/>
    </w:rPr>
  </w:style>
  <w:style w:type="paragraph" w:styleId="Footer">
    <w:name w:val="footer"/>
    <w:basedOn w:val="Normal"/>
    <w:link w:val="FooterChar"/>
    <w:uiPriority w:val="99"/>
    <w:unhideWhenUsed/>
    <w:rsid w:val="00121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8C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85253">
      <w:bodyDiv w:val="1"/>
      <w:marLeft w:val="0"/>
      <w:marRight w:val="0"/>
      <w:marTop w:val="0"/>
      <w:marBottom w:val="0"/>
      <w:divBdr>
        <w:top w:val="none" w:sz="0" w:space="0" w:color="auto"/>
        <w:left w:val="none" w:sz="0" w:space="0" w:color="auto"/>
        <w:bottom w:val="none" w:sz="0" w:space="0" w:color="auto"/>
        <w:right w:val="none" w:sz="0" w:space="0" w:color="auto"/>
      </w:divBdr>
    </w:div>
    <w:div w:id="100054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1</cp:revision>
  <dcterms:created xsi:type="dcterms:W3CDTF">2025-01-09T09:01:00Z</dcterms:created>
  <dcterms:modified xsi:type="dcterms:W3CDTF">2025-01-17T12:36:00Z</dcterms:modified>
</cp:coreProperties>
</file>