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Product Review</w:t>
      </w:r>
    </w:p>
    <w:p>
      <w:r>
        <w:t xml:space="preserve">Prepared by the product team. </w:t>
      </w:r>
      <w:r>
        <w:rPr>
          <w:b/>
        </w:rPr>
        <w:t>Confidential</w:t>
      </w:r>
      <w:r>
        <w:t xml:space="preserve"> — for internal circulation only, and </w:t>
      </w:r>
      <w:r>
        <w:rPr>
          <w:i/>
        </w:rPr>
        <w:t>not final</w:t>
      </w:r>
      <w:r>
        <w:t>.</w:t>
      </w:r>
    </w:p>
    <w:p>
      <w:pPr>
        <w:pStyle w:val="Heading2"/>
      </w:pPr>
      <w:r>
        <w:t>Highlights</w:t>
      </w:r>
    </w:p>
    <w:p>
      <w:pPr>
        <w:pStyle w:val="ListBullet"/>
      </w:pPr>
      <w:r>
        <w:t>Editor rewritten on a whitelisted node schema</w:t>
      </w:r>
    </w:p>
    <w:p>
      <w:pPr>
        <w:pStyle w:val="ListBullet"/>
      </w:pPr>
      <w:r>
        <w:t>Import supports .txt, .md and .docx</w:t>
      </w:r>
    </w:p>
    <w:p>
      <w:pPr>
        <w:pStyle w:val="ListBullet"/>
      </w:pPr>
      <w:r>
        <w:t>Sharing with per-document viewer and editor roles</w:t>
      </w:r>
    </w:p>
    <w:p>
      <w:pPr>
        <w:pStyle w:val="Heading2"/>
      </w:pPr>
      <w:r>
        <w:t>Next steps</w:t>
      </w:r>
    </w:p>
    <w:p>
      <w:pPr>
        <w:pStyle w:val="ListNumber"/>
      </w:pPr>
      <w:r>
        <w:t>Real-time co-editing with presence</w:t>
      </w:r>
    </w:p>
    <w:p>
      <w:pPr>
        <w:pStyle w:val="ListNumber"/>
      </w:pPr>
      <w:r>
        <w:t>Version history panel</w:t>
      </w:r>
    </w:p>
    <w:p>
      <w:pPr>
        <w:pStyle w:val="ListNumber"/>
      </w:pPr>
      <w:r>
        <w:t>Full-text search</w:t>
      </w:r>
    </w:p>
    <w:p>
      <w:pPr>
        <w:pStyle w:val="Heading3"/>
      </w:pPr>
      <w:r>
        <w:t>Open questions</w:t>
      </w:r>
    </w:p>
    <w:p>
      <w:r>
        <w:t>Whether to ship export before search. The table below is included on purpose: it has no whitelisted target node, so the importer should drop it and say 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Owner</w:t>
            </w:r>
          </w:p>
        </w:tc>
      </w:tr>
      <w:tr>
        <w:tc>
          <w:tcPr>
            <w:tcW w:type="dxa" w:w="4320"/>
          </w:tcPr>
          <w:p>
            <w:r>
              <w:t>Co-editing</w:t>
            </w:r>
          </w:p>
        </w:tc>
        <w:tc>
          <w:tcPr>
            <w:tcW w:type="dxa" w:w="4320"/>
          </w:tcPr>
          <w:p>
            <w:r>
              <w:t>Backend</w:t>
            </w:r>
          </w:p>
        </w:tc>
      </w:tr>
      <w:tr>
        <w:tc>
          <w:tcPr>
            <w:tcW w:type="dxa" w:w="4320"/>
          </w:tcPr>
          <w:p>
            <w:r>
              <w:t>History UI</w:t>
            </w:r>
          </w:p>
        </w:tc>
        <w:tc>
          <w:tcPr>
            <w:tcW w:type="dxa" w:w="4320"/>
          </w:tcPr>
          <w:p>
            <w:r>
              <w:t>Frontend</w:t>
            </w:r>
          </w:p>
        </w:tc>
      </w:tr>
    </w:tbl>
    <w:p>
      <w:r>
        <w:t>A trailing paragraph after the table, to prove the parser recovers.</w:t>
      </w:r>
    </w:p>
    <w:p>
      <w:r>
        <w:t>An embedded image follows, which is also expected to be dropped:</w:t>
      </w:r>
    </w:p>
    <w:p>
      <w:r>
        <w:drawing>
          <wp:inline xmlns:a="http://schemas.openxmlformats.org/drawingml/2006/main" xmlns:pic="http://schemas.openxmlformats.org/drawingml/2006/picture">
            <wp:extent cx="4572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