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25,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2026-09-25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89.5%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85.3%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72.0%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2026-09-25.*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