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2026-09-25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62.5%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