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25,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2026-09-25</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On-Device Audio Biomarker Detection: Challenges and System Optimizations</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[https://doi.org/10.1109/MPRV.2024.10291](https://doi.org/10.1109/MPRV.2024.10291)</w:t>
      </w:r>
    </w:p>
    <w:p>
      <w:pPr>
        <w:pStyle w:val="ListBullet"/>
      </w:pPr>
      <w:r/>
      <w:r>
        <w:rPr>
          <w:b/>
        </w:rPr>
        <w:t>Problem Addressed:</w:t>
      </w:r>
      <w:r>
        <w:t xml:space="preserve"> Excessive DRAM memory bandwidth bottleneck during continuous audio spectrogram processing.</w:t>
      </w:r>
    </w:p>
    <w:p>
      <w:pPr>
        <w:pStyle w:val="ListBullet"/>
      </w:pPr>
      <w:r/>
      <w:r>
        <w:rPr>
          <w:b/>
        </w:rPr>
        <w:t>Approach:</w:t>
      </w:r>
      <w:r>
        <w:t xml:space="preserve"> Sparse temporal convolutions with SRAM on-chip scratchpad caching.</w:t>
      </w:r>
    </w:p>
    <w:p>
      <w:pPr>
        <w:pStyle w:val="ListBullet"/>
      </w:pPr>
      <w:r/>
      <w:r>
        <w:rPr>
          <w:b/>
        </w:rPr>
        <w:t>Key Contribution:</w:t>
      </w:r>
      <w:r>
        <w:t xml:space="preserve"> Reduces edge inference energy consumption by 62%.</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Mascolo,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(On-Device Audio Biomarker Detection: Challenges and System Optimizations).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(On-Device Audio Biomarker Detection: Challenges and System Optimizations).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'On-Device Audio Biomarker Detection: Challenges and System Optimizations',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*On-Device Audio Biomarker Detection: Challenges and System Optimizations* (IEEE Pervasive Computing, 2024)</w:t>
      </w:r>
    </w:p>
    <w:p>
      <w:pPr>
        <w:pStyle w:val="Heading2"/>
        <w:spacing w:before="200" w:after="60"/>
      </w:pPr>
      <w:r>
        <w:t>Tier 2 — Research Evolution</w:t>
      </w:r>
    </w:p>
    <w:p>
      <w:r>
        <w:t>2. *On-Device Audio Biomarker Detection: Challenges and System Optimizations* (IEEE Pervasive Computing, 2024)</w:t>
      </w:r>
    </w:p>
    <w:p>
      <w:pPr>
        <w:pStyle w:val="Heading2"/>
        <w:spacing w:before="200" w:after="60"/>
      </w:pPr>
      <w:r>
        <w:t>Tier 3 — PhD Alignment</w:t>
      </w:r>
    </w:p>
    <w:p>
      <w:r>
        <w:t>3. *On-Device Audio Biomarker Detection: Challenges and System Optimizations* (IEEE Pervasive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2024 to 2024,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