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October 02,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2026-10-02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94.4%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86.7%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79.0%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78.3%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