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2026-09-18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89.5%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85.3%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72.0%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