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6"/>
        </w:rPr>
        <w:t>COUNTRY PHD INTELLIGENCE: CANADA</w:t>
      </w:r>
    </w:p>
    <w:p>
      <w:pPr>
        <w:jc w:val="center"/>
      </w:pPr>
      <w:r>
        <w:rPr>
          <w:color w:val="64748B"/>
          <w:sz w:val="20"/>
        </w:rPr>
        <w:t>Academic Research Intelligence • Generated: September 29, 2026</w:t>
      </w:r>
    </w:p>
    <w:p>
      <w:pPr>
        <w:spacing w:after="300"/>
      </w:pPr>
    </w:p>
    <w:p>
      <w:r/>
      <w:r>
        <w:rPr>
          <w:b/>
        </w:rPr>
        <w:t>Country Code:</w:t>
      </w:r>
      <w:r>
        <w:t xml:space="preserve"> CA</w:t>
      </w:r>
    </w:p>
    <w:p>
      <w:r/>
      <w:r>
        <w:rPr>
          <w:b/>
        </w:rPr>
        <w:t>Primary Currency:</w:t>
      </w:r>
      <w:r>
        <w:t xml:space="preserve"> CAD</w:t>
      </w:r>
    </w:p>
    <w:p>
      <w:r/>
      <w:r>
        <w:rPr>
          <w:b/>
        </w:rPr>
        <w:t>Execution Date:</w:t>
      </w:r>
      <w:r>
        <w:t xml:space="preserve"> 2026-09-29</w:t>
      </w:r>
    </w:p>
    <w:p>
      <w:r/>
      <w:r>
        <w:rPr>
          <w:b/>
        </w:rPr>
        <w:t>Target PhD Field:</w:t>
      </w:r>
      <w:r>
        <w:t xml:space="preserve"> Edge Computing, Edge AI &amp; Distributed Systems</w:t>
      </w:r>
    </w:p>
    <w:p>
      <w:r>
        <w:t>---</w:t>
      </w:r>
    </w:p>
    <w:p>
      <w:pPr>
        <w:pStyle w:val="Heading1"/>
        <w:spacing w:before="280" w:after="80"/>
      </w:pPr>
      <w:r>
        <w:t>1. Country Overview &amp; Research Ecosystem</w:t>
      </w:r>
    </w:p>
    <w:p>
      <w:r>
        <w:t>Canada offers an internationally renowned doctoral research ecosystem characterized by world-class university laboratories, competitive national and institutional funding structures, and clear pathways for international doctoral scholars.</w:t>
      </w:r>
    </w:p>
    <w:p>
      <w:pPr>
        <w:pStyle w:val="ListBullet"/>
      </w:pPr>
      <w:r/>
      <w:r>
        <w:rPr>
          <w:b/>
        </w:rPr>
        <w:t>Primary Funding Vehicle:</w:t>
      </w:r>
      <w:r>
        <w:t xml:space="preserve"> Vanier CGS ($50,000/yr), NSERC Fellowships &amp; Departmental Guaranteed PhD Funding Packages ($25k-$35k/yr)</w:t>
      </w:r>
    </w:p>
    <w:p>
      <w:pPr>
        <w:pStyle w:val="ListBullet"/>
      </w:pPr>
      <w:r/>
      <w:r>
        <w:rPr>
          <w:b/>
        </w:rPr>
        <w:t>Immigration &amp; Dependant Policy:</w:t>
      </w:r>
      <w:r>
        <w:t xml:space="preserve"> Spouses/common-law partners of full-time doctoral (PhD) students are eligible for a Spousal Open Work Permit (SOWP); minor children can study at public schools without study permit.</w:t>
      </w:r>
    </w:p>
    <w:p>
      <w:pPr>
        <w:pStyle w:val="ListBullet"/>
      </w:pPr>
      <w:r/>
      <w:r>
        <w:rPr>
          <w:b/>
        </w:rPr>
        <w:t>Official Guidance:</w:t>
      </w:r>
      <w:r>
        <w:t xml:space="preserve"> [https://www.canada.ca/en/immigration-refugees-citizenship/services/study-canada/work/help-your-spouse-work.html](https://www.canada.ca/en/immigration-refugees-citizenship/services/study-canada/work/help-your-spouse-work.html)</w:t>
      </w:r>
    </w:p>
    <w:p>
      <w:r>
        <w:t>---</w:t>
      </w:r>
    </w:p>
    <w:p>
      <w:pPr>
        <w:pStyle w:val="Heading1"/>
        <w:spacing w:before="280" w:after="80"/>
      </w:pPr>
      <w:r>
        <w:t>2. Executive Intelligence Metrics</w:t>
      </w:r>
    </w:p>
    <w:p>
      <w:pPr>
        <w:pStyle w:val="ListBullet"/>
      </w:pPr>
      <w:r/>
      <w:r>
        <w:rPr>
          <w:b/>
        </w:rPr>
        <w:t>Total Top Universities Identified:</w:t>
      </w:r>
      <w:r>
        <w:t xml:space="preserve"> 8</w:t>
      </w:r>
    </w:p>
    <w:p>
      <w:pPr>
        <w:pStyle w:val="ListBullet"/>
      </w:pPr>
      <w:r/>
      <w:r>
        <w:rPr>
          <w:b/>
        </w:rPr>
        <w:t>Total Vetted Professors Monitored:</w:t>
      </w:r>
      <w:r>
        <w:t xml:space="preserve"> 8</w:t>
      </w:r>
    </w:p>
    <w:p>
      <w:pPr>
        <w:pStyle w:val="ListBullet"/>
      </w:pPr>
      <w:r/>
      <w:r>
        <w:rPr>
          <w:b/>
        </w:rPr>
        <w:t>Available Doctoral Funding Schemes:</w:t>
      </w:r>
      <w:r>
        <w:t xml:space="preserve"> 2</w:t>
      </w:r>
    </w:p>
    <w:p>
      <w:pPr>
        <w:pStyle w:val="ListBullet"/>
      </w:pPr>
      <w:r/>
      <w:r>
        <w:rPr>
          <w:b/>
        </w:rPr>
        <w:t>Key Application Deadline:</w:t>
      </w:r>
      <w:r>
        <w:t xml:space="preserve"> 2026-12-15</w:t>
      </w:r>
    </w:p>
    <w:p>
      <w:r>
        <w:t>---</w:t>
      </w:r>
    </w:p>
    <w:p>
      <w:pPr>
        <w:pStyle w:val="Heading1"/>
        <w:spacing w:before="280" w:after="80"/>
      </w:pPr>
      <w:r>
        <w:t>3. Discovered Universities &amp; Suitability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University</w:t>
            </w:r>
          </w:p>
        </w:tc>
        <w:tc>
          <w:tcPr>
            <w:tcW w:type="dxa" w:w="1872"/>
          </w:tcPr>
          <w:p>
            <w:r>
              <w:t>Relevant Departments</w:t>
            </w:r>
          </w:p>
        </w:tc>
        <w:tc>
          <w:tcPr>
            <w:tcW w:type="dxa" w:w="1872"/>
          </w:tcPr>
          <w:p>
            <w:r>
              <w:t>Research Suitability</w:t>
            </w:r>
          </w:p>
        </w:tc>
        <w:tc>
          <w:tcPr>
            <w:tcW w:type="dxa" w:w="1872"/>
          </w:tcPr>
          <w:p>
            <w:r>
              <w:t>Funding Rating</w:t>
            </w:r>
          </w:p>
        </w:tc>
        <w:tc>
          <w:tcPr>
            <w:tcW w:type="dxa" w:w="1872"/>
          </w:tcPr>
          <w:p>
            <w:r>
              <w:t>Official 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University of Waterloo</w:t>
            </w:r>
            <w:r/>
          </w:p>
        </w:tc>
        <w:tc>
          <w:tcPr>
            <w:tcW w:type="dxa" w:w="1872"/>
          </w:tcPr>
          <w:p>
            <w:r>
              <w:t>David R. Cheriton School of Computer Science, Department of Electrical and Computer Engineering</w:t>
            </w:r>
          </w:p>
        </w:tc>
        <w:tc>
          <w:tcPr>
            <w:tcW w:type="dxa" w:w="1872"/>
          </w:tcPr>
          <w:p>
            <w:r>
              <w:t>62.5%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University of Toronto</w:t>
            </w:r>
            <w:r/>
          </w:p>
        </w:tc>
        <w:tc>
          <w:tcPr>
            <w:tcW w:type="dxa" w:w="1872"/>
          </w:tcPr>
          <w:p>
            <w:r>
              <w:t>Department of Computer Science, The Edward S. Rogers Sr. Department of Electrical &amp; Computer Engineering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University of British Columbia</w:t>
            </w:r>
            <w:r/>
          </w:p>
        </w:tc>
        <w:tc>
          <w:tcPr>
            <w:tcW w:type="dxa" w:w="1872"/>
          </w:tcPr>
          <w:p>
            <w:r>
              <w:t>Department of Computer Science, Department of Electrical and Computer Engineering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McGill University</w:t>
            </w:r>
            <w:r/>
          </w:p>
        </w:tc>
        <w:tc>
          <w:tcPr>
            <w:tcW w:type="dxa" w:w="1872"/>
          </w:tcPr>
          <w:p>
            <w:r>
              <w:t>School of Computer Science, Department of Electrical and Computer Engineering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University of Alberta</w:t>
            </w:r>
            <w:r/>
          </w:p>
        </w:tc>
        <w:tc>
          <w:tcPr>
            <w:tcW w:type="dxa" w:w="1872"/>
          </w:tcPr>
          <w:p>
            <w:r>
              <w:t>Department of Computing Science, Department of Electrical and Computer Engineering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Simon Fraser University</w:t>
            </w:r>
            <w:r/>
          </w:p>
        </w:tc>
        <w:tc>
          <w:tcPr>
            <w:tcW w:type="dxa" w:w="1872"/>
          </w:tcPr>
          <w:p>
            <w:r>
              <w:t>School of Computing Science, School of Engineering Science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Queen's University</w:t>
            </w:r>
            <w:r/>
          </w:p>
        </w:tc>
        <w:tc>
          <w:tcPr>
            <w:tcW w:type="dxa" w:w="1872"/>
          </w:tcPr>
          <w:p>
            <w:r>
              <w:t>School of Computing, Department of Electrical and Computer Engineering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McMaster University</w:t>
            </w:r>
            <w:r/>
          </w:p>
        </w:tc>
        <w:tc>
          <w:tcPr>
            <w:tcW w:type="dxa" w:w="1872"/>
          </w:tcPr>
          <w:p>
            <w:r>
              <w:t>Department of Computing and Software, Department of Electrical &amp; Computer Engineering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</w:tbl>
    <w:p>
      <w:pPr>
        <w:spacing w:after="120"/>
      </w:pPr>
    </w:p>
    <w:p>
      <w:r>
        <w:t>---</w:t>
      </w:r>
    </w:p>
    <w:p>
      <w:pPr>
        <w:pStyle w:val="Heading1"/>
        <w:spacing w:before="280" w:after="80"/>
      </w:pPr>
      <w:r>
        <w:t>4. Top Vetted PhD Supervisors &amp; Relevance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Professor</w:t>
            </w:r>
          </w:p>
        </w:tc>
        <w:tc>
          <w:tcPr>
            <w:tcW w:type="dxa" w:w="1560"/>
          </w:tcPr>
          <w:p>
            <w:r>
              <w:t>University</w:t>
            </w:r>
          </w:p>
        </w:tc>
        <w:tc>
          <w:tcPr>
            <w:tcW w:type="dxa" w:w="1560"/>
          </w:tcPr>
          <w:p>
            <w:r>
              <w:t>Priority Tier</w:t>
            </w:r>
          </w:p>
        </w:tc>
        <w:tc>
          <w:tcPr>
            <w:tcW w:type="dxa" w:w="1560"/>
          </w:tcPr>
          <w:p>
            <w:r>
              <w:t>Research Fit</w:t>
            </w:r>
          </w:p>
        </w:tc>
        <w:tc>
          <w:tcPr>
            <w:tcW w:type="dxa" w:w="1560"/>
          </w:tcPr>
          <w:p>
            <w:r>
              <w:t>Recruitment Status</w:t>
            </w:r>
          </w:p>
        </w:tc>
        <w:tc>
          <w:tcPr>
            <w:tcW w:type="dxa" w:w="1560"/>
          </w:tcPr>
          <w:p>
            <w:r>
              <w:t>Profile Link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Jiangchuan Liu</w:t>
            </w:r>
            <w:r/>
          </w:p>
        </w:tc>
        <w:tc>
          <w:tcPr>
            <w:tcW w:type="dxa" w:w="1560"/>
          </w:tcPr>
          <w:p>
            <w:r>
              <w:t>Simon Fraser University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Raouf Boutaba</w:t>
            </w:r>
            <w:r/>
          </w:p>
        </w:tc>
        <w:tc>
          <w:tcPr>
            <w:tcW w:type="dxa" w:w="1560"/>
          </w:tcPr>
          <w:p>
            <w:r>
              <w:t>University of Waterloo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97.0%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Di Niu</w:t>
            </w:r>
            <w:r/>
          </w:p>
        </w:tc>
        <w:tc>
          <w:tcPr>
            <w:tcW w:type="dxa" w:w="1560"/>
          </w:tcPr>
          <w:p>
            <w:r>
              <w:t>University of Alberta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97.0%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Sathish Gopalakrishnan</w:t>
            </w:r>
            <w:r/>
          </w:p>
        </w:tc>
        <w:tc>
          <w:tcPr>
            <w:tcW w:type="dxa" w:w="1560"/>
          </w:tcPr>
          <w:p>
            <w:r>
              <w:t>University of British Columbia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96.2%</w:t>
            </w:r>
          </w:p>
        </w:tc>
        <w:tc>
          <w:tcPr>
            <w:tcW w:type="dxa" w:w="1560"/>
          </w:tcPr>
          <w:p>
            <w:r>
              <w:t>STRONG_EVIDENCE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Karthik Pattabiraman</w:t>
            </w:r>
            <w:r/>
          </w:p>
        </w:tc>
        <w:tc>
          <w:tcPr>
            <w:tcW w:type="dxa" w:w="1560"/>
          </w:tcPr>
          <w:p>
            <w:r>
              <w:t>University of British Columbia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95.8%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Yashar Ganjali</w:t>
            </w:r>
            <w:r/>
          </w:p>
        </w:tc>
        <w:tc>
          <w:tcPr>
            <w:tcW w:type="dxa" w:w="1560"/>
          </w:tcPr>
          <w:p>
            <w:r>
              <w:t>University of Toronto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71.0%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Cristiana Amza</w:t>
            </w:r>
            <w:r/>
          </w:p>
        </w:tc>
        <w:tc>
          <w:tcPr>
            <w:tcW w:type="dxa" w:w="1560"/>
          </w:tcPr>
          <w:p>
            <w:r>
              <w:t>University of Toronto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65.2%</w:t>
            </w:r>
          </w:p>
        </w:tc>
        <w:tc>
          <w:tcPr>
            <w:tcW w:type="dxa" w:w="1560"/>
          </w:tcPr>
          <w:p>
            <w:r>
              <w:t>STRONG_EVIDENCE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Muthucumaru Maheswaran</w:t>
            </w:r>
            <w:r/>
          </w:p>
        </w:tc>
        <w:tc>
          <w:tcPr>
            <w:tcW w:type="dxa" w:w="1560"/>
          </w:tcPr>
          <w:p>
            <w:r>
              <w:t>McGill University</w:t>
            </w:r>
          </w:p>
        </w:tc>
        <w:tc>
          <w:tcPr>
            <w:tcW w:type="dxa" w:w="1560"/>
          </w:tcPr>
          <w:p>
            <w:r>
              <w:t>Tier 2</w:t>
            </w:r>
          </w:p>
        </w:tc>
        <w:tc>
          <w:tcPr>
            <w:tcW w:type="dxa" w:w="1560"/>
          </w:tcPr>
          <w:p>
            <w:r>
              <w:t>75.0%</w:t>
            </w:r>
          </w:p>
        </w:tc>
        <w:tc>
          <w:tcPr>
            <w:tcW w:type="dxa" w:w="1560"/>
          </w:tcPr>
          <w:p>
            <w:r>
              <w:t>STRONG_EVIDENCE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</w:tbl>
    <w:p>
      <w:pPr>
        <w:spacing w:after="120"/>
      </w:pPr>
    </w:p>
    <w:p>
      <w:r>
        <w:t>---</w:t>
      </w:r>
    </w:p>
    <w:p>
      <w:pPr>
        <w:pStyle w:val="Heading1"/>
        <w:spacing w:before="280" w:after="80"/>
      </w:pPr>
      <w:r>
        <w:t>5. Major Doctoral Funding Schemes &amp; Scholarships</w:t>
      </w:r>
    </w:p>
    <w:p>
      <w:pPr>
        <w:pStyle w:val="Heading2"/>
        <w:spacing w:before="200" w:after="60"/>
      </w:pPr>
      <w:r>
        <w:t>Vanier Canada Graduate Scholarships (Vanier CGS)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Government of Canada (CIHR, NSERC, SSHRC) (All Participating Canadian Institutions (Toronto, Waterloo, UBC, McGill, Alberta, etc.))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tuition waivers typically awarded alongside fellowship by host institution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CAD $50,000/year tax-free stipend + Spousal Open Work Permit (SOWP) eligibility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GOOD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2026-11-01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[https://vanier.gc.ca/en/home-accueil.html](https://vanier.gc.ca/en/home-accueil.html)</w:t>
      </w:r>
    </w:p>
    <w:p>
      <w:pPr>
        <w:pStyle w:val="Heading2"/>
        <w:spacing w:before="200" w:after="60"/>
      </w:pPr>
      <w:r>
        <w:t>Guaranteed Minimum Doctoral Funding Package (Research &amp; Teaching Assistantships)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University Graduate Studies &amp; Faculty Research Grants (NSERC Discovery Grants) (Canadian Research Universities (Toronto, Waterloo, UBC, McGill))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international tuition differential fee waiver or reimbursement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CAD $25,000 - $35,000/year base living funding (after tuition is covered)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GOOD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2026-12-15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[https://web.cs.toronto.edu/graduate/funding](https://web.cs.toronto.edu/graduate/funding)</w:t>
      </w:r>
    </w:p>
    <w:p>
      <w:r>
        <w:t>---</w:t>
      </w:r>
    </w:p>
    <w:p>
      <w:pPr>
        <w:pStyle w:val="Heading1"/>
        <w:spacing w:before="280" w:after="80"/>
      </w:pPr>
      <w:r>
        <w:t>6. Strategic Application Timeline &amp; Next Steps</w:t>
      </w:r>
    </w:p>
    <w:p>
      <w:r>
        <w:t xml:space="preserve">1. </w:t>
      </w:r>
      <w:r>
        <w:rPr>
          <w:b/>
        </w:rPr>
        <w:t>Weeks 1–4:</w:t>
      </w:r>
      <w:r>
        <w:t xml:space="preserve"> Review individual 33-section professor dossiers under `professors/`.</w:t>
      </w:r>
    </w:p>
    <w:p>
      <w:r>
        <w:t xml:space="preserve">2. </w:t>
      </w:r>
      <w:r>
        <w:rPr>
          <w:b/>
        </w:rPr>
        <w:t>Weeks 5–6:</w:t>
      </w:r>
      <w:r>
        <w:t xml:space="preserve"> Conduct tailored email outreach referencing recent publications and active laboratory grants.</w:t>
      </w:r>
    </w:p>
    <w:p>
      <w:r>
        <w:t xml:space="preserve">3. </w:t>
      </w:r>
      <w:r>
        <w:rPr>
          <w:b/>
        </w:rPr>
        <w:t>Weeks 7–8:</w:t>
      </w:r>
      <w:r>
        <w:t xml:space="preserve"> Formalize 5-page research proposal aligned with the supervisor's documented testbeds.</w:t>
      </w:r>
    </w:p>
    <w:p>
      <w:r>
        <w:t xml:space="preserve">4. </w:t>
      </w:r>
      <w:r>
        <w:rPr>
          <w:b/>
        </w:rPr>
        <w:t>Target Deadline:</w:t>
      </w:r>
      <w:r>
        <w:t xml:space="preserve"> Submit institutional application ahead of </w:t>
      </w:r>
      <w:r>
        <w:rPr>
          <w:b/>
        </w:rPr>
        <w:t>2026-12-15</w:t>
      </w:r>
      <w:r>
        <w:t>.</w:t>
      </w:r>
    </w:p>
    <w:p>
      <w:r>
        <w:t>---</w:t>
      </w:r>
    </w:p>
    <w:p>
      <w:r>
        <w:t>*Report compiled automatically by the Global Country-Based PhD Funding and Supervisor Intelligence Engine on 2026-09-29.*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