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29,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2026-09-29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79.2%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53.0%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2026-09-29.*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