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2026-09-19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77.0%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68.0%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