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October 03,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2026-10-03</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(2026–2034)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Distributed Systems Foundations &amp; Networked Computing (2026–2022)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(2023–2026)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Loss-Tolerant RDMA Network Over Commodity Devices</w:t>
      </w:r>
    </w:p>
    <w:p>
      <w:pPr>
        <w:pStyle w:val="ListBullet"/>
      </w:pPr>
      <w:r/>
      <w:r>
        <w:rPr>
          <w:b/>
        </w:rPr>
        <w:t>Year:</w:t>
      </w:r>
      <w:r>
        <w:t xml:space="preserve"> 2026</w:t>
      </w:r>
    </w:p>
    <w:p>
      <w:pPr>
        <w:pStyle w:val="ListBullet"/>
      </w:pPr>
      <w:r/>
      <w:r>
        <w:rPr>
          <w:b/>
        </w:rPr>
        <w:t>Venue:</w:t>
      </w:r>
      <w:r>
        <w:t xml:space="preserve"> IEEE Transactions on Networking</w:t>
      </w:r>
    </w:p>
    <w:p>
      <w:pPr>
        <w:pStyle w:val="ListBullet"/>
      </w:pPr>
      <w:r/>
      <w:r>
        <w:rPr>
          <w:b/>
        </w:rPr>
        <w:t>DOI / Link:</w:t>
      </w:r>
      <w:r>
        <w:t xml:space="preserve"> [https://doi.org/10.1109/ton.2026.3694152](https://doi.org/10.1109/ton.2026.3694152)</w:t>
      </w:r>
    </w:p>
    <w:p>
      <w:pPr>
        <w:pStyle w:val="ListBullet"/>
      </w:pPr>
      <w:r/>
      <w:r>
        <w:rPr>
          <w:b/>
        </w:rPr>
        <w:t>Problem Addressed:</w:t>
      </w:r>
      <w:r>
        <w:t xml:space="preserve"> On lossy data-centre fabrics, RDMA suffers packet losses and repeated retransmission timeouts that degrade or interrupt service.</w:t>
      </w:r>
    </w:p>
    <w:p>
      <w:pPr>
        <w:pStyle w:val="ListBullet"/>
      </w:pPr>
      <w:r/>
      <w:r>
        <w:rPr>
          <w:b/>
        </w:rPr>
        <w:t>Approach:</w:t>
      </w:r>
      <w:r>
        <w:t xml:space="preserve"> NüWa identifies the packets whose loss would trigger timeouts and protects them, with a switch mode for ordinary NICs and a NIC mode for programmable NICs.</w:t>
      </w:r>
    </w:p>
    <w:p>
      <w:pPr>
        <w:pStyle w:val="ListBullet"/>
      </w:pPr>
      <w:r/>
      <w:r>
        <w:rPr>
          <w:b/>
        </w:rPr>
        <w:t>Key Contribution:</w:t>
      </w:r>
      <w:r>
        <w:t xml:space="preserve"> A loss-tolerant RDMA design for commodity hardware that avoids timeout-inducing packet losses.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2026–2022: Distributed Systems Foundations &amp; Networked Computing</w:t>
      </w:r>
    </w:p>
    <w:p>
      <w:r>
        <w:t>│</w:t>
      </w:r>
    </w:p>
    <w:p>
      <w:r>
        <w:t>▼</w:t>
      </w:r>
    </w:p>
    <w:p>
      <w:r>
        <w:t>2023–2026: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Lei Wang, Zhe Wang, Yimu Yuan, Siyu Yan, Shuhan Tian, Ning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(Loss-Tolerant RDMA Network Over Commodity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(Loss-Tolerant RDMA Network Over Commodity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'Loss-Tolerant RDMA Network Over Commodity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*Loss-Tolerant RDMA Network Over Commodity Devices* (IEEE Transactions on Networking, 2026)</w:t>
      </w:r>
    </w:p>
    <w:p>
      <w:pPr>
        <w:pStyle w:val="Heading2"/>
        <w:spacing w:before="200" w:after="60"/>
      </w:pPr>
      <w:r>
        <w:t>Tier 2 — Research Evolution</w:t>
      </w:r>
    </w:p>
    <w:p>
      <w:r>
        <w:t>2. *Loss-Tolerant RDMA Network Over Commodity Devices* (IEEE Transactions on Networking, 2026)</w:t>
      </w:r>
    </w:p>
    <w:p>
      <w:pPr>
        <w:pStyle w:val="Heading2"/>
        <w:spacing w:before="200" w:after="60"/>
      </w:pPr>
      <w:r>
        <w:t>Tier 3 — PhD Alignment</w:t>
      </w:r>
    </w:p>
    <w:p>
      <w:r>
        <w:t>3. *Loss-Tolerant RDMA Network Over Commodity Devices* (IEEE Transactions on Networking, 2026)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2026 to 2026,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(2026–2026).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