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36"/>
        </w:rPr>
        <w:t>COUNTRY PHD INTELLIGENCE: UNITED STATES</w:t>
      </w:r>
    </w:p>
    <w:p>
      <w:pPr>
        <w:jc w:val="center"/>
      </w:pPr>
      <w:r>
        <w:rPr>
          <w:color w:val="64748B"/>
          <w:sz w:val="20"/>
        </w:rPr>
        <w:t>Academic Research Intelligence • Generated: October 03, 2026</w:t>
      </w:r>
    </w:p>
    <w:p>
      <w:pPr>
        <w:spacing w:after="300"/>
      </w:pPr>
    </w:p>
    <w:p>
      <w:r/>
      <w:r>
        <w:rPr>
          <w:b/>
        </w:rPr>
        <w:t>Country Code:</w:t>
      </w:r>
      <w:r>
        <w:t xml:space="preserve"> US</w:t>
      </w:r>
    </w:p>
    <w:p>
      <w:r/>
      <w:r>
        <w:rPr>
          <w:b/>
        </w:rPr>
        <w:t>Primary Currency:</w:t>
      </w:r>
      <w:r>
        <w:t xml:space="preserve"> USD</w:t>
      </w:r>
    </w:p>
    <w:p>
      <w:r/>
      <w:r>
        <w:rPr>
          <w:b/>
        </w:rPr>
        <w:t>Execution Date:</w:t>
      </w:r>
      <w:r>
        <w:t xml:space="preserve"> 2026-10-03</w:t>
      </w:r>
    </w:p>
    <w:p>
      <w:r/>
      <w:r>
        <w:rPr>
          <w:b/>
        </w:rPr>
        <w:t>Target PhD Field:</w:t>
      </w:r>
      <w:r>
        <w:t xml:space="preserve"> Edge Computing, Edge AI &amp; Distributed Systems</w:t>
      </w:r>
    </w:p>
    <w:p>
      <w:r>
        <w:t>---</w:t>
      </w:r>
    </w:p>
    <w:p>
      <w:pPr>
        <w:pStyle w:val="Heading1"/>
        <w:spacing w:before="280" w:after="80"/>
      </w:pPr>
      <w:r>
        <w:t>1. Country Overview &amp; Research Ecosystem</w:t>
      </w:r>
    </w:p>
    <w:p>
      <w:r>
        <w:t>United States offers an internationally renowned doctoral research ecosystem characterized by world-class university laboratories, competitive national and institutional funding structures, and clear pathways for international doctoral scholars.</w:t>
      </w:r>
    </w:p>
    <w:p>
      <w:pPr>
        <w:pStyle w:val="ListBullet"/>
      </w:pPr>
      <w:r/>
      <w:r>
        <w:rPr>
          <w:b/>
        </w:rPr>
        <w:t>Primary Funding Vehicle:</w:t>
      </w:r>
      <w:r>
        <w:t xml:space="preserve"> Full Graduate Research Assistantships (100% Tuition Waiver + $30k-$48k Stipend)</w:t>
      </w:r>
    </w:p>
    <w:p>
      <w:pPr>
        <w:pStyle w:val="ListBullet"/>
      </w:pPr>
      <w:r/>
      <w:r>
        <w:rPr>
          <w:b/>
        </w:rPr>
        <w:t>Immigration &amp; Dependant Policy:</w:t>
      </w:r>
      <w:r>
        <w:t xml:space="preserve"> Spouses and unmarried minor children of F-1/J-1 doctoral students are eligible for F-2 or J-2 derivative status. J-2 spouses may apply for work authorization (EAD).</w:t>
      </w:r>
    </w:p>
    <w:p>
      <w:pPr>
        <w:pStyle w:val="ListBullet"/>
      </w:pPr>
      <w:r/>
      <w:r>
        <w:rPr>
          <w:b/>
        </w:rPr>
        <w:t>Official Guidance:</w:t>
      </w:r>
      <w:r>
        <w:t xml:space="preserve"> [https://travel.state.gov/content/travel/en/us-visas/study/student-visa.html](https://travel.state.gov/content/travel/en/us-visas/study/student-visa.html)</w:t>
      </w:r>
    </w:p>
    <w:p>
      <w:r>
        <w:t>---</w:t>
      </w:r>
    </w:p>
    <w:p>
      <w:pPr>
        <w:pStyle w:val="Heading1"/>
        <w:spacing w:before="280" w:after="80"/>
      </w:pPr>
      <w:r>
        <w:t>2. Executive Intelligence Metrics</w:t>
      </w:r>
    </w:p>
    <w:p>
      <w:pPr>
        <w:pStyle w:val="ListBullet"/>
      </w:pPr>
      <w:r/>
      <w:r>
        <w:rPr>
          <w:b/>
        </w:rPr>
        <w:t>Total Top Universities Identified:</w:t>
      </w:r>
      <w:r>
        <w:t xml:space="preserve"> 8</w:t>
      </w:r>
    </w:p>
    <w:p>
      <w:pPr>
        <w:pStyle w:val="ListBullet"/>
      </w:pPr>
      <w:r/>
      <w:r>
        <w:rPr>
          <w:b/>
        </w:rPr>
        <w:t>Total Vetted Professors Monitored:</w:t>
      </w:r>
      <w:r>
        <w:t xml:space="preserve"> 8</w:t>
      </w:r>
    </w:p>
    <w:p>
      <w:pPr>
        <w:pStyle w:val="ListBullet"/>
      </w:pPr>
      <w:r/>
      <w:r>
        <w:rPr>
          <w:b/>
        </w:rPr>
        <w:t>Available Doctoral Funding Schemes:</w:t>
      </w:r>
      <w:r>
        <w:t xml:space="preserve"> 3</w:t>
      </w:r>
    </w:p>
    <w:p>
      <w:pPr>
        <w:pStyle w:val="ListBullet"/>
      </w:pPr>
      <w:r/>
      <w:r>
        <w:rPr>
          <w:b/>
        </w:rPr>
        <w:t>Key Application Deadline:</w:t>
      </w:r>
      <w:r>
        <w:t xml:space="preserve"> 2026-12-15</w:t>
      </w:r>
    </w:p>
    <w:p>
      <w:r>
        <w:t>---</w:t>
      </w:r>
    </w:p>
    <w:p>
      <w:pPr>
        <w:pStyle w:val="Heading1"/>
        <w:spacing w:before="280" w:after="80"/>
      </w:pPr>
      <w:r>
        <w:t>3. Discovered Universities &amp; Suitability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University</w:t>
            </w:r>
          </w:p>
        </w:tc>
        <w:tc>
          <w:tcPr>
            <w:tcW w:type="dxa" w:w="1872"/>
          </w:tcPr>
          <w:p>
            <w:r>
              <w:t>Relevant Departments</w:t>
            </w:r>
          </w:p>
        </w:tc>
        <w:tc>
          <w:tcPr>
            <w:tcW w:type="dxa" w:w="1872"/>
          </w:tcPr>
          <w:p>
            <w:r>
              <w:t>Research Suitability</w:t>
            </w:r>
          </w:p>
        </w:tc>
        <w:tc>
          <w:tcPr>
            <w:tcW w:type="dxa" w:w="1872"/>
          </w:tcPr>
          <w:p>
            <w:r>
              <w:t>Funding Rating</w:t>
            </w:r>
          </w:p>
        </w:tc>
        <w:tc>
          <w:tcPr>
            <w:tcW w:type="dxa" w:w="1872"/>
          </w:tcPr>
          <w:p>
            <w:r>
              <w:t>Official Portal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University of Illinois Urbana-Champaign</w:t>
            </w:r>
            <w:r/>
          </w:p>
        </w:tc>
        <w:tc>
          <w:tcPr>
            <w:tcW w:type="dxa" w:w="1872"/>
          </w:tcPr>
          <w:p>
            <w:r>
              <w:t>Siebel School of Computing and Data Science, Coordinated Science Laboratory (CSL)</w:t>
            </w:r>
          </w:p>
        </w:tc>
        <w:tc>
          <w:tcPr>
            <w:tcW w:type="dxa" w:w="1872"/>
          </w:tcPr>
          <w:p>
            <w:r>
              <w:t>69.5%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Portal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University of Texas at Austin</w:t>
            </w:r>
            <w:r/>
          </w:p>
        </w:tc>
        <w:tc>
          <w:tcPr>
            <w:tcW w:type="dxa" w:w="1872"/>
          </w:tcPr>
          <w:p>
            <w:r>
              <w:t>Department of Computer Science, Department of Electrical and Computer Engineering (ECE)</w:t>
            </w:r>
          </w:p>
        </w:tc>
        <w:tc>
          <w:tcPr>
            <w:tcW w:type="dxa" w:w="1872"/>
          </w:tcPr>
          <w:p>
            <w:r>
              <w:t>68.5%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Portal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Carnegie Mellon University</w:t>
            </w:r>
            <w:r/>
          </w:p>
        </w:tc>
        <w:tc>
          <w:tcPr>
            <w:tcW w:type="dxa" w:w="1872"/>
          </w:tcPr>
          <w:p>
            <w:r>
              <w:t>Computer Science Department (CSD), Electrical and Computer Engineering (ECE)</w:t>
            </w:r>
          </w:p>
        </w:tc>
        <w:tc>
          <w:tcPr>
            <w:tcW w:type="dxa" w:w="1872"/>
          </w:tcPr>
          <w:p>
            <w:r>
              <w:t>63.5%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Portal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Georgia Institute of Technology</w:t>
            </w:r>
            <w:r/>
          </w:p>
        </w:tc>
        <w:tc>
          <w:tcPr>
            <w:tcW w:type="dxa" w:w="1872"/>
          </w:tcPr>
          <w:p>
            <w:r>
              <w:t>College of Computing, School of Computer Science</w:t>
            </w:r>
          </w:p>
        </w:tc>
        <w:tc>
          <w:tcPr>
            <w:tcW w:type="dxa" w:w="1872"/>
          </w:tcPr>
          <w:p>
            <w:r>
              <w:t>63.5%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Portal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Stanford University</w:t>
            </w:r>
            <w:r/>
          </w:p>
        </w:tc>
        <w:tc>
          <w:tcPr>
            <w:tcW w:type="dxa" w:w="1872"/>
          </w:tcPr>
          <w:p>
            <w:r>
              <w:t>Department of Computer Science, Department of Electrical Engineering</w:t>
            </w:r>
          </w:p>
        </w:tc>
        <w:tc>
          <w:tcPr>
            <w:tcW w:type="dxa" w:w="1872"/>
          </w:tcPr>
          <w:p>
            <w:r>
              <w:t>62.5%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Portal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Purdue University / Princeton University</w:t>
            </w:r>
            <w:r/>
          </w:p>
        </w:tc>
        <w:tc>
          <w:tcPr>
            <w:tcW w:type="dxa" w:w="1872"/>
          </w:tcPr>
          <w:p>
            <w:r>
              <w:t>Elmore Family School of Electrical and Computer Engineering, Department of Computer Science</w:t>
            </w:r>
          </w:p>
        </w:tc>
        <w:tc>
          <w:tcPr>
            <w:tcW w:type="dxa" w:w="1872"/>
          </w:tcPr>
          <w:p>
            <w:r>
              <w:t>59.5%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Portal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University of California, Berkeley</w:t>
            </w:r>
            <w:r/>
          </w:p>
        </w:tc>
        <w:tc>
          <w:tcPr>
            <w:tcW w:type="dxa" w:w="1872"/>
          </w:tcPr>
          <w:p>
            <w:r>
              <w:t>Department of Electrical Engineering and Computer Sciences (EECS)</w:t>
            </w:r>
          </w:p>
        </w:tc>
        <w:tc>
          <w:tcPr>
            <w:tcW w:type="dxa" w:w="1872"/>
          </w:tcPr>
          <w:p>
            <w:r>
              <w:t>57.5%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Portal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Massachusetts Institute of Technology</w:t>
            </w:r>
            <w:r/>
          </w:p>
        </w:tc>
        <w:tc>
          <w:tcPr>
            <w:tcW w:type="dxa" w:w="1872"/>
          </w:tcPr>
          <w:p>
            <w:r>
              <w:t>Department of Electrical Engineering and Computer Science (EECS)</w:t>
            </w:r>
          </w:p>
        </w:tc>
        <w:tc>
          <w:tcPr>
            <w:tcW w:type="dxa" w:w="1872"/>
          </w:tcPr>
          <w:p>
            <w:r>
              <w:t>54.5%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Portal</w:t>
            </w:r>
          </w:p>
        </w:tc>
      </w:tr>
    </w:tbl>
    <w:p>
      <w:pPr>
        <w:spacing w:after="120"/>
      </w:pPr>
    </w:p>
    <w:p>
      <w:r>
        <w:t>---</w:t>
      </w:r>
    </w:p>
    <w:p>
      <w:pPr>
        <w:pStyle w:val="Heading1"/>
        <w:spacing w:before="280" w:after="80"/>
      </w:pPr>
      <w:r>
        <w:t>4. Top Vetted PhD Supervisors &amp; Relevance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Professor</w:t>
            </w:r>
          </w:p>
        </w:tc>
        <w:tc>
          <w:tcPr>
            <w:tcW w:type="dxa" w:w="1560"/>
          </w:tcPr>
          <w:p>
            <w:r>
              <w:t>University</w:t>
            </w:r>
          </w:p>
        </w:tc>
        <w:tc>
          <w:tcPr>
            <w:tcW w:type="dxa" w:w="1560"/>
          </w:tcPr>
          <w:p>
            <w:r>
              <w:t>Priority Tier</w:t>
            </w:r>
          </w:p>
        </w:tc>
        <w:tc>
          <w:tcPr>
            <w:tcW w:type="dxa" w:w="1560"/>
          </w:tcPr>
          <w:p>
            <w:r>
              <w:t>Research Fit</w:t>
            </w:r>
          </w:p>
        </w:tc>
        <w:tc>
          <w:tcPr>
            <w:tcW w:type="dxa" w:w="1560"/>
          </w:tcPr>
          <w:p>
            <w:r>
              <w:t>Recruitment Status</w:t>
            </w:r>
          </w:p>
        </w:tc>
        <w:tc>
          <w:tcPr>
            <w:tcW w:type="dxa" w:w="1560"/>
          </w:tcPr>
          <w:p>
            <w:r>
              <w:t>Profile Link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Prof. Indranil Gupta</w:t>
            </w:r>
            <w:r/>
          </w:p>
        </w:tc>
        <w:tc>
          <w:tcPr>
            <w:tcW w:type="dxa" w:w="1560"/>
          </w:tcPr>
          <w:p>
            <w:r>
              <w:t>University of Illinois Urbana-Champaign</w:t>
            </w:r>
          </w:p>
        </w:tc>
        <w:tc>
          <w:tcPr>
            <w:tcW w:type="dxa" w:w="1560"/>
          </w:tcPr>
          <w:p>
            <w:r>
              <w:t>Tier 1</w:t>
            </w:r>
          </w:p>
        </w:tc>
        <w:tc>
          <w:tcPr>
            <w:tcW w:type="dxa" w:w="1560"/>
          </w:tcPr>
          <w:p>
            <w:r>
              <w:t>100.0%</w:t>
            </w:r>
          </w:p>
        </w:tc>
        <w:tc>
          <w:tcPr>
            <w:tcW w:type="dxa" w:w="1560"/>
          </w:tcPr>
          <w:p>
            <w:r>
              <w:t>CONFIRMED_ACTIVE</w:t>
            </w:r>
          </w:p>
        </w:tc>
        <w:tc>
          <w:tcPr>
            <w:tcW w:type="dxa" w:w="1560"/>
          </w:tcPr>
          <w:p>
            <w:r>
              <w:t>Dossier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Prof. Sanjay Shakkottai</w:t>
            </w:r>
            <w:r/>
          </w:p>
        </w:tc>
        <w:tc>
          <w:tcPr>
            <w:tcW w:type="dxa" w:w="1560"/>
          </w:tcPr>
          <w:p>
            <w:r>
              <w:t>University of Texas at Austin</w:t>
            </w:r>
          </w:p>
        </w:tc>
        <w:tc>
          <w:tcPr>
            <w:tcW w:type="dxa" w:w="1560"/>
          </w:tcPr>
          <w:p>
            <w:r>
              <w:t>Tier 1</w:t>
            </w:r>
          </w:p>
        </w:tc>
        <w:tc>
          <w:tcPr>
            <w:tcW w:type="dxa" w:w="1560"/>
          </w:tcPr>
          <w:p>
            <w:r>
              <w:t>98.9%</w:t>
            </w:r>
          </w:p>
        </w:tc>
        <w:tc>
          <w:tcPr>
            <w:tcW w:type="dxa" w:w="1560"/>
          </w:tcPr>
          <w:p>
            <w:r>
              <w:t>CONFIRMED_ACTIVE</w:t>
            </w:r>
          </w:p>
        </w:tc>
        <w:tc>
          <w:tcPr>
            <w:tcW w:type="dxa" w:w="1560"/>
          </w:tcPr>
          <w:p>
            <w:r>
              <w:t>Dossier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Prof. Tarek Abdelzaher</w:t>
            </w:r>
            <w:r/>
          </w:p>
        </w:tc>
        <w:tc>
          <w:tcPr>
            <w:tcW w:type="dxa" w:w="1560"/>
          </w:tcPr>
          <w:p>
            <w:r>
              <w:t>University of Illinois Urbana-Champaign</w:t>
            </w:r>
          </w:p>
        </w:tc>
        <w:tc>
          <w:tcPr>
            <w:tcW w:type="dxa" w:w="1560"/>
          </w:tcPr>
          <w:p>
            <w:r>
              <w:t>Tier 1</w:t>
            </w:r>
          </w:p>
        </w:tc>
        <w:tc>
          <w:tcPr>
            <w:tcW w:type="dxa" w:w="1560"/>
          </w:tcPr>
          <w:p>
            <w:r>
              <w:t>95.1%</w:t>
            </w:r>
          </w:p>
        </w:tc>
        <w:tc>
          <w:tcPr>
            <w:tcW w:type="dxa" w:w="1560"/>
          </w:tcPr>
          <w:p>
            <w:r>
              <w:t>CONFIRMED_ACTIVE</w:t>
            </w:r>
          </w:p>
        </w:tc>
        <w:tc>
          <w:tcPr>
            <w:tcW w:type="dxa" w:w="1560"/>
          </w:tcPr>
          <w:p>
            <w:r>
              <w:t>Dossier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Prof. Joseph E. Gonzalez</w:t>
            </w:r>
            <w:r/>
          </w:p>
        </w:tc>
        <w:tc>
          <w:tcPr>
            <w:tcW w:type="dxa" w:w="1560"/>
          </w:tcPr>
          <w:p>
            <w:r>
              <w:t>University of California, Berkeley</w:t>
            </w:r>
          </w:p>
        </w:tc>
        <w:tc>
          <w:tcPr>
            <w:tcW w:type="dxa" w:w="1560"/>
          </w:tcPr>
          <w:p>
            <w:r>
              <w:t>Tier 1</w:t>
            </w:r>
          </w:p>
        </w:tc>
        <w:tc>
          <w:tcPr>
            <w:tcW w:type="dxa" w:w="1560"/>
          </w:tcPr>
          <w:p>
            <w:r>
              <w:t>93.3%</w:t>
            </w:r>
          </w:p>
        </w:tc>
        <w:tc>
          <w:tcPr>
            <w:tcW w:type="dxa" w:w="1560"/>
          </w:tcPr>
          <w:p>
            <w:r>
              <w:t>CONFIRMED_ACTIVE</w:t>
            </w:r>
          </w:p>
        </w:tc>
        <w:tc>
          <w:tcPr>
            <w:tcW w:type="dxa" w:w="1560"/>
          </w:tcPr>
          <w:p>
            <w:r>
              <w:t>Dossier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Prof. Klara Nahrstedt</w:t>
            </w:r>
            <w:r/>
          </w:p>
        </w:tc>
        <w:tc>
          <w:tcPr>
            <w:tcW w:type="dxa" w:w="1560"/>
          </w:tcPr>
          <w:p>
            <w:r>
              <w:t>University of Illinois Urbana-Champaign</w:t>
            </w:r>
          </w:p>
        </w:tc>
        <w:tc>
          <w:tcPr>
            <w:tcW w:type="dxa" w:w="1560"/>
          </w:tcPr>
          <w:p>
            <w:r>
              <w:t>Tier 1</w:t>
            </w:r>
          </w:p>
        </w:tc>
        <w:tc>
          <w:tcPr>
            <w:tcW w:type="dxa" w:w="1560"/>
          </w:tcPr>
          <w:p>
            <w:r>
              <w:t>93.3%</w:t>
            </w:r>
          </w:p>
        </w:tc>
        <w:tc>
          <w:tcPr>
            <w:tcW w:type="dxa" w:w="1560"/>
          </w:tcPr>
          <w:p>
            <w:r>
              <w:t>CONFIRMED_ACTIVE</w:t>
            </w:r>
          </w:p>
        </w:tc>
        <w:tc>
          <w:tcPr>
            <w:tcW w:type="dxa" w:w="1560"/>
          </w:tcPr>
          <w:p>
            <w:r>
              <w:t>Dossier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Prof. Mung Chiang</w:t>
            </w:r>
            <w:r/>
          </w:p>
        </w:tc>
        <w:tc>
          <w:tcPr>
            <w:tcW w:type="dxa" w:w="1560"/>
          </w:tcPr>
          <w:p>
            <w:r>
              <w:t>Purdue University / Princeton University</w:t>
            </w:r>
          </w:p>
        </w:tc>
        <w:tc>
          <w:tcPr>
            <w:tcW w:type="dxa" w:w="1560"/>
          </w:tcPr>
          <w:p>
            <w:r>
              <w:t>Tier 1</w:t>
            </w:r>
          </w:p>
        </w:tc>
        <w:tc>
          <w:tcPr>
            <w:tcW w:type="dxa" w:w="1560"/>
          </w:tcPr>
          <w:p>
            <w:r>
              <w:t>92.2%</w:t>
            </w:r>
          </w:p>
        </w:tc>
        <w:tc>
          <w:tcPr>
            <w:tcW w:type="dxa" w:w="1560"/>
          </w:tcPr>
          <w:p>
            <w:r>
              <w:t>STRONG_EVIDENCE</w:t>
            </w:r>
          </w:p>
        </w:tc>
        <w:tc>
          <w:tcPr>
            <w:tcW w:type="dxa" w:w="1560"/>
          </w:tcPr>
          <w:p>
            <w:r>
              <w:t>Dossier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Prof. Ion Stoica</w:t>
            </w:r>
            <w:r/>
          </w:p>
        </w:tc>
        <w:tc>
          <w:tcPr>
            <w:tcW w:type="dxa" w:w="1560"/>
          </w:tcPr>
          <w:p>
            <w:r>
              <w:t>University of California, Berkeley</w:t>
            </w:r>
          </w:p>
        </w:tc>
        <w:tc>
          <w:tcPr>
            <w:tcW w:type="dxa" w:w="1560"/>
          </w:tcPr>
          <w:p>
            <w:r>
              <w:t>Tier 1</w:t>
            </w:r>
          </w:p>
        </w:tc>
        <w:tc>
          <w:tcPr>
            <w:tcW w:type="dxa" w:w="1560"/>
          </w:tcPr>
          <w:p>
            <w:r>
              <w:t>91.0%</w:t>
            </w:r>
          </w:p>
        </w:tc>
        <w:tc>
          <w:tcPr>
            <w:tcW w:type="dxa" w:w="1560"/>
          </w:tcPr>
          <w:p>
            <w:r>
              <w:t>CONFIRMED_ACTIVE</w:t>
            </w:r>
          </w:p>
        </w:tc>
        <w:tc>
          <w:tcPr>
            <w:tcW w:type="dxa" w:w="1560"/>
          </w:tcPr>
          <w:p>
            <w:r>
              <w:t>Dossier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Prof. Mahadev Satyanarayanan (Satya)</w:t>
            </w:r>
            <w:r/>
          </w:p>
        </w:tc>
        <w:tc>
          <w:tcPr>
            <w:tcW w:type="dxa" w:w="1560"/>
          </w:tcPr>
          <w:p>
            <w:r>
              <w:t>Carnegie Mellon University</w:t>
            </w:r>
          </w:p>
        </w:tc>
        <w:tc>
          <w:tcPr>
            <w:tcW w:type="dxa" w:w="1560"/>
          </w:tcPr>
          <w:p>
            <w:r>
              <w:t>Tier 1</w:t>
            </w:r>
          </w:p>
        </w:tc>
        <w:tc>
          <w:tcPr>
            <w:tcW w:type="dxa" w:w="1560"/>
          </w:tcPr>
          <w:p>
            <w:r>
              <w:t>87.0%</w:t>
            </w:r>
          </w:p>
        </w:tc>
        <w:tc>
          <w:tcPr>
            <w:tcW w:type="dxa" w:w="1560"/>
          </w:tcPr>
          <w:p>
            <w:r>
              <w:t>CONFIRMED_ACTIVE</w:t>
            </w:r>
          </w:p>
        </w:tc>
        <w:tc>
          <w:tcPr>
            <w:tcW w:type="dxa" w:w="1560"/>
          </w:tcPr>
          <w:p>
            <w:r>
              <w:t>Dossier</w:t>
            </w:r>
          </w:p>
        </w:tc>
      </w:tr>
    </w:tbl>
    <w:p>
      <w:pPr>
        <w:spacing w:after="120"/>
      </w:pPr>
    </w:p>
    <w:p>
      <w:r>
        <w:t>---</w:t>
      </w:r>
    </w:p>
    <w:p>
      <w:pPr>
        <w:pStyle w:val="Heading1"/>
        <w:spacing w:before="280" w:after="80"/>
      </w:pPr>
      <w:r>
        <w:t>5. Major Doctoral Funding Schemes &amp; Scholarships</w:t>
      </w:r>
    </w:p>
    <w:p>
      <w:pPr>
        <w:pStyle w:val="Heading2"/>
        <w:spacing w:before="200" w:after="60"/>
      </w:pPr>
      <w:r>
        <w:t>Full Graduate Research Assistantship (GRA / RA / Teaching Assistantship GTA)</w:t>
      </w:r>
    </w:p>
    <w:p>
      <w:pPr>
        <w:pStyle w:val="ListBullet"/>
      </w:pPr>
      <w:r/>
      <w:r>
        <w:rPr>
          <w:b/>
        </w:rPr>
        <w:t>Provider / University:</w:t>
      </w:r>
      <w:r>
        <w:t xml:space="preserve"> University Departments &amp; Sponsored Research Grants (NSF, DARPA, DOE, Industry) (All Major US Research Universities (CMU, Berkeley, UT Austin, UIUC, MIT, Stanford, etc.))</w:t>
      </w:r>
    </w:p>
    <w:p>
      <w:pPr>
        <w:pStyle w:val="ListBullet"/>
      </w:pPr>
      <w:r/>
      <w:r>
        <w:rPr>
          <w:b/>
        </w:rPr>
        <w:t>Funding Type:</w:t>
      </w:r>
      <w:r>
        <w:t xml:space="preserve"> </w:t>
      </w:r>
      <w:r>
        <w:rPr>
          <w:b/>
        </w:rPr>
        <w:t>FULLY_FUNDED</w:t>
      </w:r>
      <w:r/>
    </w:p>
    <w:p>
      <w:pPr>
        <w:pStyle w:val="ListBullet"/>
      </w:pPr>
      <w:r/>
      <w:r>
        <w:rPr>
          <w:b/>
        </w:rPr>
        <w:t>Tuition Coverage:</w:t>
      </w:r>
      <w:r>
        <w:t xml:space="preserve"> 100% full tuition waiver and mandatory university fee coverage for duration of PhD</w:t>
      </w:r>
    </w:p>
    <w:p>
      <w:pPr>
        <w:pStyle w:val="ListBullet"/>
      </w:pPr>
      <w:r/>
      <w:r>
        <w:rPr>
          <w:b/>
        </w:rPr>
        <w:t>Stipend / Salary:</w:t>
      </w:r>
      <w:r>
        <w:t xml:space="preserve"> $32,000 - $48,000/year living stipend paid semi-monthly + university-subsidized comprehensive health, dental, and vision insurance</w:t>
      </w:r>
    </w:p>
    <w:p>
      <w:pPr>
        <w:pStyle w:val="ListBullet"/>
      </w:pPr>
      <w:r/>
      <w:r>
        <w:rPr>
          <w:b/>
        </w:rPr>
        <w:t>International Eligibility:</w:t>
      </w:r>
      <w:r>
        <w:t xml:space="preserve"> ELIGIBLE</w:t>
      </w:r>
    </w:p>
    <w:p>
      <w:pPr>
        <w:pStyle w:val="ListBullet"/>
      </w:pPr>
      <w:r/>
      <w:r>
        <w:rPr>
          <w:b/>
        </w:rPr>
        <w:t>Dependant Support:</w:t>
      </w:r>
      <w:r>
        <w:t xml:space="preserve"> PERMITTED</w:t>
      </w:r>
    </w:p>
    <w:p>
      <w:pPr>
        <w:pStyle w:val="ListBullet"/>
      </w:pPr>
      <w:r/>
      <w:r>
        <w:rPr>
          <w:b/>
        </w:rPr>
        <w:t>Application Deadline:</w:t>
      </w:r>
      <w:r>
        <w:t xml:space="preserve"> 2026-12-15</w:t>
      </w:r>
    </w:p>
    <w:p>
      <w:pPr>
        <w:pStyle w:val="ListBullet"/>
      </w:pPr>
      <w:r/>
      <w:r>
        <w:rPr>
          <w:b/>
        </w:rPr>
        <w:t>Official Source:</w:t>
      </w:r>
      <w:r>
        <w:t xml:space="preserve"> [https://www.cs.cmu.edu/academics/phd/financial-aid](https://www.cs.cmu.edu/academics/phd/financial-aid)</w:t>
      </w:r>
    </w:p>
    <w:p>
      <w:pPr>
        <w:pStyle w:val="Heading2"/>
        <w:spacing w:before="200" w:after="60"/>
      </w:pPr>
      <w:r>
        <w:t>Doctoral Departmental &amp; Institutional Fellowships (Dean's Fellowship / Chancellor's Fellowship)</w:t>
      </w:r>
    </w:p>
    <w:p>
      <w:pPr>
        <w:pStyle w:val="ListBullet"/>
      </w:pPr>
      <w:r/>
      <w:r>
        <w:rPr>
          <w:b/>
        </w:rPr>
        <w:t>Provider / University:</w:t>
      </w:r>
      <w:r>
        <w:t xml:space="preserve"> University Graduate Schools &amp; Endowments (All Accredited US Institutions)</w:t>
      </w:r>
    </w:p>
    <w:p>
      <w:pPr>
        <w:pStyle w:val="ListBullet"/>
      </w:pPr>
      <w:r/>
      <w:r>
        <w:rPr>
          <w:b/>
        </w:rPr>
        <w:t>Funding Type:</w:t>
      </w:r>
      <w:r>
        <w:t xml:space="preserve"> </w:t>
      </w:r>
      <w:r>
        <w:rPr>
          <w:b/>
        </w:rPr>
        <w:t>FULLY_FUNDED</w:t>
      </w:r>
      <w:r/>
    </w:p>
    <w:p>
      <w:pPr>
        <w:pStyle w:val="ListBullet"/>
      </w:pPr>
      <w:r/>
      <w:r>
        <w:rPr>
          <w:b/>
        </w:rPr>
        <w:t>Tuition Coverage:</w:t>
      </w:r>
      <w:r>
        <w:t xml:space="preserve"> Full tuition and fee waiver</w:t>
      </w:r>
    </w:p>
    <w:p>
      <w:pPr>
        <w:pStyle w:val="ListBullet"/>
      </w:pPr>
      <w:r/>
      <w:r>
        <w:rPr>
          <w:b/>
        </w:rPr>
        <w:t>Stipend / Salary:</w:t>
      </w:r>
      <w:r>
        <w:t xml:space="preserve"> $38,000 - $45,000/year tax-free stipend with zero teaching obligations in year 1</w:t>
      </w:r>
    </w:p>
    <w:p>
      <w:pPr>
        <w:pStyle w:val="ListBullet"/>
      </w:pPr>
      <w:r/>
      <w:r>
        <w:rPr>
          <w:b/>
        </w:rPr>
        <w:t>International Eligibility:</w:t>
      </w:r>
      <w:r>
        <w:t xml:space="preserve"> ELIGIBLE</w:t>
      </w:r>
    </w:p>
    <w:p>
      <w:pPr>
        <w:pStyle w:val="ListBullet"/>
      </w:pPr>
      <w:r/>
      <w:r>
        <w:rPr>
          <w:b/>
        </w:rPr>
        <w:t>Dependant Support:</w:t>
      </w:r>
      <w:r>
        <w:t xml:space="preserve"> PERMITTED</w:t>
      </w:r>
    </w:p>
    <w:p>
      <w:pPr>
        <w:pStyle w:val="ListBullet"/>
      </w:pPr>
      <w:r/>
      <w:r>
        <w:rPr>
          <w:b/>
        </w:rPr>
        <w:t>Application Deadline:</w:t>
      </w:r>
      <w:r>
        <w:t xml:space="preserve"> 2026-12-10</w:t>
      </w:r>
    </w:p>
    <w:p>
      <w:pPr>
        <w:pStyle w:val="ListBullet"/>
      </w:pPr>
      <w:r/>
      <w:r>
        <w:rPr>
          <w:b/>
        </w:rPr>
        <w:t>Official Source:</w:t>
      </w:r>
      <w:r>
        <w:t xml:space="preserve"> [https://grad.berkeley.edu/admissions/financial-support/fellowships/](https://grad.berkeley.edu/admissions/financial-support/fellowships/)</w:t>
      </w:r>
    </w:p>
    <w:p>
      <w:pPr>
        <w:pStyle w:val="Heading2"/>
        <w:spacing w:before="200" w:after="60"/>
      </w:pPr>
      <w:r>
        <w:t>Fulbright Foreign Student Program (Doctoral Track)</w:t>
      </w:r>
    </w:p>
    <w:p>
      <w:pPr>
        <w:pStyle w:val="ListBullet"/>
      </w:pPr>
      <w:r/>
      <w:r>
        <w:rPr>
          <w:b/>
        </w:rPr>
        <w:t>Provider / University:</w:t>
      </w:r>
      <w:r>
        <w:t xml:space="preserve"> U.S. Department of State / Foreign Fulbright Commissions (Accredited US Universities)</w:t>
      </w:r>
    </w:p>
    <w:p>
      <w:pPr>
        <w:pStyle w:val="ListBullet"/>
      </w:pPr>
      <w:r/>
      <w:r>
        <w:rPr>
          <w:b/>
        </w:rPr>
        <w:t>Funding Type:</w:t>
      </w:r>
      <w:r>
        <w:t xml:space="preserve"> </w:t>
      </w:r>
      <w:r>
        <w:rPr>
          <w:b/>
        </w:rPr>
        <w:t>FULLY_FUNDED</w:t>
      </w:r>
      <w:r/>
    </w:p>
    <w:p>
      <w:pPr>
        <w:pStyle w:val="ListBullet"/>
      </w:pPr>
      <w:r/>
      <w:r>
        <w:rPr>
          <w:b/>
        </w:rPr>
        <w:t>Tuition Coverage:</w:t>
      </w:r>
      <w:r>
        <w:t xml:space="preserve"> Full tuition and mandatory fees covered</w:t>
      </w:r>
    </w:p>
    <w:p>
      <w:pPr>
        <w:pStyle w:val="ListBullet"/>
      </w:pPr>
      <w:r/>
      <w:r>
        <w:rPr>
          <w:b/>
        </w:rPr>
        <w:t>Stipend / Salary:</w:t>
      </w:r>
      <w:r>
        <w:t xml:space="preserve"> Monthly maintenance stipend calibrated to host city cost of living + health benefits + J-2 spouse work eligibility (EAD)</w:t>
      </w:r>
    </w:p>
    <w:p>
      <w:pPr>
        <w:pStyle w:val="ListBullet"/>
      </w:pPr>
      <w:r/>
      <w:r>
        <w:rPr>
          <w:b/>
        </w:rPr>
        <w:t>International Eligibility:</w:t>
      </w:r>
      <w:r>
        <w:t xml:space="preserve"> ELIGIBLE</w:t>
      </w:r>
    </w:p>
    <w:p>
      <w:pPr>
        <w:pStyle w:val="ListBullet"/>
      </w:pPr>
      <w:r/>
      <w:r>
        <w:rPr>
          <w:b/>
        </w:rPr>
        <w:t>Dependant Support:</w:t>
      </w:r>
      <w:r>
        <w:t xml:space="preserve"> PERMITTED</w:t>
      </w:r>
    </w:p>
    <w:p>
      <w:pPr>
        <w:pStyle w:val="ListBullet"/>
      </w:pPr>
      <w:r/>
      <w:r>
        <w:rPr>
          <w:b/>
        </w:rPr>
        <w:t>Application Deadline:</w:t>
      </w:r>
      <w:r>
        <w:t xml:space="preserve"> 2026-05-15</w:t>
      </w:r>
    </w:p>
    <w:p>
      <w:pPr>
        <w:pStyle w:val="ListBullet"/>
      </w:pPr>
      <w:r/>
      <w:r>
        <w:rPr>
          <w:b/>
        </w:rPr>
        <w:t>Official Source:</w:t>
      </w:r>
      <w:r>
        <w:t xml:space="preserve"> [https://foreign.fulbrightonline.org/](https://foreign.fulbrightonline.org/)</w:t>
      </w:r>
    </w:p>
    <w:p>
      <w:r>
        <w:t>---</w:t>
      </w:r>
    </w:p>
    <w:p>
      <w:pPr>
        <w:pStyle w:val="Heading1"/>
        <w:spacing w:before="280" w:after="80"/>
      </w:pPr>
      <w:r>
        <w:t>6. Strategic Application Timeline &amp; Next Steps</w:t>
      </w:r>
    </w:p>
    <w:p>
      <w:r>
        <w:t xml:space="preserve">1. </w:t>
      </w:r>
      <w:r>
        <w:rPr>
          <w:b/>
        </w:rPr>
        <w:t>Weeks 1–4:</w:t>
      </w:r>
      <w:r>
        <w:t xml:space="preserve"> Review individual 33-section professor dossiers under `professors/`.</w:t>
      </w:r>
    </w:p>
    <w:p>
      <w:r>
        <w:t xml:space="preserve">2. </w:t>
      </w:r>
      <w:r>
        <w:rPr>
          <w:b/>
        </w:rPr>
        <w:t>Weeks 5–6:</w:t>
      </w:r>
      <w:r>
        <w:t xml:space="preserve"> Conduct tailored email outreach referencing recent publications and active laboratory grants.</w:t>
      </w:r>
    </w:p>
    <w:p>
      <w:r>
        <w:t xml:space="preserve">3. </w:t>
      </w:r>
      <w:r>
        <w:rPr>
          <w:b/>
        </w:rPr>
        <w:t>Weeks 7–8:</w:t>
      </w:r>
      <w:r>
        <w:t xml:space="preserve"> Formalize 5-page research proposal aligned with the supervisor's documented testbeds.</w:t>
      </w:r>
    </w:p>
    <w:p>
      <w:r>
        <w:t xml:space="preserve">4. </w:t>
      </w:r>
      <w:r>
        <w:rPr>
          <w:b/>
        </w:rPr>
        <w:t>Target Deadline:</w:t>
      </w:r>
      <w:r>
        <w:t xml:space="preserve"> Submit institutional application ahead of </w:t>
      </w:r>
      <w:r>
        <w:rPr>
          <w:b/>
        </w:rPr>
        <w:t>2026-12-15</w:t>
      </w:r>
      <w:r>
        <w:t>.</w:t>
      </w:r>
    </w:p>
    <w:p>
      <w:r>
        <w:t>---</w:t>
      </w:r>
    </w:p>
    <w:p>
      <w:r>
        <w:t>*Report compiled automatically by the Global Country-Based PhD Funding and Supervisor Intelligence Engine on 2026-10-03.*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