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21,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2026-09-21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89.5%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85.3%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80.8%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72.0%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2026-09-21.*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