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21,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2026-09-21</w:t>
      </w:r>
    </w:p>
    <w:p>
      <w:r/>
      <w:r>
        <w:rPr>
          <w:b/>
        </w:rPr>
        <w:t>Priority Tier:</w:t>
      </w:r>
      <w:r>
        <w:t xml:space="preserve"> Tier 2 (Research Alignment: 73%)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Resource Allocation for Ultra-Dense Edge Networks: A Dynamical Systems Approach</w:t>
      </w:r>
    </w:p>
    <w:p>
      <w:pPr>
        <w:pStyle w:val="ListBullet"/>
      </w:pPr>
      <w:r/>
      <w:r>
        <w:rPr>
          <w:b/>
        </w:rPr>
        <w:t>Year:</w:t>
      </w:r>
      <w:r>
        <w:t xml:space="preserve"> 2023</w:t>
      </w:r>
    </w:p>
    <w:p>
      <w:pPr>
        <w:pStyle w:val="ListBullet"/>
      </w:pPr>
      <w:r/>
      <w:r>
        <w:rPr>
          <w:b/>
        </w:rPr>
        <w:t>Venue:</w:t>
      </w:r>
      <w:r>
        <w:t xml:space="preserve"> IEEE Transactions on Network and Service Management</w:t>
      </w:r>
    </w:p>
    <w:p>
      <w:pPr>
        <w:pStyle w:val="ListBullet"/>
      </w:pPr>
      <w:r/>
      <w:r>
        <w:rPr>
          <w:b/>
        </w:rPr>
        <w:t>DOI / Link:</w:t>
      </w:r>
      <w:r>
        <w:t xml:space="preserve"> [https://doi.org/10.1109/TNSM.2023.3267891](https://doi.org/10.1109/TNSM.2023.3267891)</w:t>
      </w:r>
    </w:p>
    <w:p>
      <w:pPr>
        <w:pStyle w:val="ListBullet"/>
      </w:pPr>
      <w:r/>
      <w:r>
        <w:rPr>
          <w:b/>
        </w:rPr>
        <w:t>Problem Addressed:</w:t>
      </w:r>
      <w:r>
        <w:t xml:space="preserve"> Centralized edge resource allocators become computational bottlenecks as cell density explodes.</w:t>
      </w:r>
    </w:p>
    <w:p>
      <w:pPr>
        <w:pStyle w:val="ListBullet"/>
      </w:pPr>
      <w:r/>
      <w:r>
        <w:rPr>
          <w:b/>
        </w:rPr>
        <w:t>Approach:</w:t>
      </w:r>
      <w:r>
        <w:t xml:space="preserve"> Coupled oscillator models determining local task offloading fractions without global state.</w:t>
      </w:r>
    </w:p>
    <w:p>
      <w:pPr>
        <w:pStyle w:val="ListBullet"/>
      </w:pPr>
      <w:r/>
      <w:r>
        <w:rPr>
          <w:b/>
        </w:rPr>
        <w:t>Key Contribution:</w:t>
      </w:r>
      <w:r>
        <w:t xml:space="preserve"> Guarantees global load stability with purely local information exchanges.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Aida, C.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Resource Allocation for Ultra-Dense Edge Networks: A Dynamical Systems Approach).</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Resource Allocation for Ultra-Dense Edge Networks: A Dynamical Systems Approach).</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Resource Allocation for Ultra-Dense Edge Networks: A Dynamical Systems Approach',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Resource Allocation for Ultra-Dense Edge Networks: A Dynamical Systems Approach* (IEEE Transactions on Network and Service Management, 2023)</w:t>
      </w:r>
    </w:p>
    <w:p>
      <w:pPr>
        <w:pStyle w:val="Heading2"/>
        <w:spacing w:before="200" w:after="60"/>
      </w:pPr>
      <w:r>
        <w:t>Tier 2 — Research Evolution</w:t>
      </w:r>
    </w:p>
    <w:p>
      <w:r>
        <w:t>2. *Autonomous Decentralized Resource Allocation for Ultra-Dense Edge Networks: A Dynamical Systems Approach* (IEEE Transactions on Network and Service Management, 2023)</w:t>
      </w:r>
    </w:p>
    <w:p>
      <w:pPr>
        <w:pStyle w:val="Heading2"/>
        <w:spacing w:before="200" w:after="60"/>
      </w:pPr>
      <w:r>
        <w:t>Tier 3 — PhD Alignment</w:t>
      </w:r>
    </w:p>
    <w:p>
      <w:r>
        <w:t>3. *Autonomous Decentralized Resource Allocation for Ultra-Dense Edge Networks: A Dynamical Systems Approach* (IEEE Transactions on Network and Service Management,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(73.2%),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