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26,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2026-09-26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65.2%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2026-09-26.*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