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2026-09-26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79.2%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53.0%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