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JAPAN</w:t>
      </w:r>
    </w:p>
    <w:p>
      <w:pPr>
        <w:jc w:val="center"/>
      </w:pPr>
      <w:r>
        <w:rPr>
          <w:color w:val="64748B"/>
          <w:sz w:val="20"/>
        </w:rPr>
        <w:t>Academic Research Intelligence • Generated: October 04,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2026-10-04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Osaka University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Computer Science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Tokyo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Electrical Engineering and Information Systems (EEIS)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Kyoto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Communications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Tokyo Institute of Technology (Institute of Science Tokyo)</w:t>
            </w:r>
            <w:r/>
          </w:p>
        </w:tc>
        <w:tc>
          <w:tcPr>
            <w:tcW w:type="dxa" w:w="1872"/>
          </w:tcPr>
          <w:p>
            <w:r>
              <w:t>School of Computing,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Keio University</w:t>
            </w:r>
            <w:r/>
          </w:p>
        </w:tc>
        <w:tc>
          <w:tcPr>
            <w:tcW w:type="dxa" w:w="1872"/>
          </w:tcPr>
          <w:p>
            <w:r>
              <w:t>Graduate School of Science and Technology, Department of Information and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Tohoku University</w:t>
            </w:r>
            <w:r/>
          </w:p>
        </w:tc>
        <w:tc>
          <w:tcPr>
            <w:tcW w:type="dxa" w:w="1872"/>
          </w:tcPr>
          <w:p>
            <w:r>
              <w:t>Graduate School of Information Sciences, Research Institute of Electrical Communication (RIEC)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Waseda University</w:t>
            </w:r>
            <w:r/>
          </w:p>
        </w:tc>
        <w:tc>
          <w:tcPr>
            <w:tcW w:type="dxa" w:w="1872"/>
          </w:tcPr>
          <w:p>
            <w:r>
              <w:t>Faculty of Science and Engineering, Department of Computer Science and Communications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Nagoya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Computing and Software Systems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Hiroshi Esaki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Hiroki Matsutani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Koji Yatani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Kenjiro Cho</w:t>
            </w:r>
            <w:r/>
          </w:p>
        </w:tc>
        <w:tc>
          <w:tcPr>
            <w:tcW w:type="dxa" w:w="1560"/>
          </w:tcPr>
          <w:p>
            <w:r>
              <w:t>The University of Tokyo / IIJ Research Lab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Toyotaro Suzumura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Hideyuki Kawashima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Masaki Aida</w:t>
            </w:r>
            <w:r/>
          </w:p>
        </w:tc>
        <w:tc>
          <w:tcPr>
            <w:tcW w:type="dxa" w:w="1560"/>
          </w:tcPr>
          <w:p>
            <w:r>
              <w:t>Tokyo Metropolitan University / 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79.2%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Fumio Teraoka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53.0%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2026-10-04.*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