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28,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2026-09-28</w:t>
      </w:r>
    </w:p>
    <w:p>
      <w:r/>
      <w:r>
        <w:rPr>
          <w:b/>
        </w:rPr>
        <w:t>Priority Tier:</w:t>
      </w:r>
      <w:r>
        <w:t xml:space="preserve"> Tier 1 (Research Alignment: 78%)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unresolved need for dependable guarantees on security, sovereignty, and trust in data ecosystems</w:t>
      </w:r>
    </w:p>
    <w:p>
      <w:pPr>
        <w:pStyle w:val="ListBullet"/>
      </w:pPr>
      <w:r/>
      <w:r>
        <w:rPr>
          <w:b/>
        </w:rPr>
        <w:t>Year:</w:t>
      </w:r>
      <w:r>
        <w:t xml:space="preserve"> 2024</w:t>
      </w:r>
    </w:p>
    <w:p>
      <w:pPr>
        <w:pStyle w:val="ListBullet"/>
      </w:pPr>
      <w:r/>
      <w:r>
        <w:rPr>
          <w:b/>
        </w:rPr>
        <w:t>Venue:</w:t>
      </w:r>
      <w:r>
        <w:t xml:space="preserve"> Data &amp; Knowledge Engineering</w:t>
      </w:r>
    </w:p>
    <w:p>
      <w:pPr>
        <w:pStyle w:val="ListBullet"/>
      </w:pPr>
      <w:r/>
      <w:r>
        <w:rPr>
          <w:b/>
        </w:rPr>
        <w:t>DOI / Link:</w:t>
      </w:r>
      <w:r>
        <w:t xml:space="preserve"> [https://doi.org/10.1016/j.datak.2024.102301](https://doi.org/10.1016/j.datak.2024.102301)</w:t>
      </w:r>
    </w:p>
    <w:p>
      <w:pPr>
        <w:pStyle w:val="ListBullet"/>
      </w:pPr>
      <w:r/>
      <w:r>
        <w:rPr>
          <w:b/>
        </w:rPr>
        <w:t>Problem Addressed:</w:t>
      </w:r>
      <w:r>
        <w:t xml:space="preserve"> Data ecosystems exchange sensitive data between stakeholders, yet current designs rely on organisational trust measures that participants may be incentivised to bypass.</w:t>
      </w:r>
    </w:p>
    <w:p>
      <w:pPr>
        <w:pStyle w:val="ListBullet"/>
      </w:pPr>
      <w:r/>
      <w:r>
        <w:rPr>
          <w:b/>
        </w:rPr>
        <w:t>Approach:</w:t>
      </w:r>
      <w:r>
        <w:t xml:space="preserve"> Analysis of security, sovereignty and trust requirements in federated data-ecosystem proposals.</w:t>
      </w:r>
    </w:p>
    <w:p>
      <w:pPr>
        <w:pStyle w:val="ListBullet"/>
      </w:pPr>
      <w:r/>
      <w:r>
        <w:rPr>
          <w:b/>
        </w:rPr>
        <w:t>Key Contribution:</w:t>
      </w:r>
      <w:r>
        <w:t xml:space="preserve"> Argues that dependable technical guarantees, not organisational measures alone, are needed and remain an open problem.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Johannes Lohmöller, Jan Pennekamp, Roman Matzutt, Carolin Victoria Schneider, Eduard Vlad, Christian Trautwein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(The unresolved need for dependable guarantees on security, sovereignty, and trust in data ecosystems).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(The unresolved need for dependable guarantees on security, sovereignty, and trust in data ecosystems).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unresolved need for dependable guarantees on security, sovereignty, and trust in data ecosystems',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unresolved need for dependable guarantees on security, sovereignty, and trust in data ecosystems* (Data &amp; Knowledge Engineering, 2024)</w:t>
      </w:r>
    </w:p>
    <w:p>
      <w:pPr>
        <w:pStyle w:val="Heading2"/>
        <w:spacing w:before="200" w:after="60"/>
      </w:pPr>
      <w:r>
        <w:t>Tier 2 — Research Evolution</w:t>
      </w:r>
    </w:p>
    <w:p>
      <w:r>
        <w:t>2. *The unresolved need for dependable guarantees on security, sovereignty, and trust in data ecosystems* (Data &amp; Knowledge Engineering, 2024)</w:t>
      </w:r>
    </w:p>
    <w:p>
      <w:pPr>
        <w:pStyle w:val="Heading2"/>
        <w:spacing w:before="200" w:after="60"/>
      </w:pPr>
      <w:r>
        <w:t>Tier 3 — PhD Alignment</w:t>
      </w:r>
    </w:p>
    <w:p>
      <w:r>
        <w:t>3. *The unresolved need for dependable guarantees on security, sovereignty, and trust in data ecosystems* (Data &amp; Knowledge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2024 to 2024,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