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28,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2026-09-28</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New Paradigm in Tuning Learned Indexes: A Reinforcement Learning Enhanced Approach</w:t>
      </w:r>
    </w:p>
    <w:p>
      <w:pPr>
        <w:pStyle w:val="ListBullet"/>
      </w:pPr>
      <w:r/>
      <w:r>
        <w:rPr>
          <w:b/>
        </w:rPr>
        <w:t>Year:</w:t>
      </w:r>
      <w:r>
        <w:t xml:space="preserve"> 2025</w:t>
      </w:r>
    </w:p>
    <w:p>
      <w:pPr>
        <w:pStyle w:val="ListBullet"/>
      </w:pPr>
      <w:r/>
      <w:r>
        <w:rPr>
          <w:b/>
        </w:rPr>
        <w:t>Venue:</w:t>
      </w:r>
      <w:r>
        <w:t xml:space="preserve"> Proceedings of the ACM on Management of Data</w:t>
      </w:r>
    </w:p>
    <w:p>
      <w:pPr>
        <w:pStyle w:val="ListBullet"/>
      </w:pPr>
      <w:r/>
      <w:r>
        <w:rPr>
          <w:b/>
        </w:rPr>
        <w:t>DOI / Link:</w:t>
      </w:r>
      <w:r>
        <w:t xml:space="preserve"> [https://doi.org/10.1145/3725257](https://doi.org/10.1145/3725257)</w:t>
      </w:r>
    </w:p>
    <w:p>
      <w:pPr>
        <w:pStyle w:val="ListBullet"/>
      </w:pPr>
      <w:r/>
      <w:r>
        <w:rPr>
          <w:b/>
        </w:rPr>
        <w:t>Problem Addressed:</w:t>
      </w:r>
      <w:r>
        <w:t xml:space="preserve"> Learned index structures require difficult trade-off tuning, relying either on manual parameter tuning or on fixed heuristic configurations.</w:t>
      </w:r>
    </w:p>
    <w:p>
      <w:pPr>
        <w:pStyle w:val="ListBullet"/>
      </w:pPr>
      <w:r/>
      <w:r>
        <w:rPr>
          <w:b/>
        </w:rPr>
        <w:t>Approach:</w:t>
      </w:r>
      <w:r>
        <w:t xml:space="preserve"> LITune, an end-to-end tuner that uses a tailored deep reinforcement learning pipeline, plus an on-the-fly updating mechanism (O2) for long-running online tuning.</w:t>
      </w:r>
    </w:p>
    <w:p>
      <w:pPr>
        <w:pStyle w:val="ListBullet"/>
      </w:pPr>
      <w:r/>
      <w:r>
        <w:rPr>
          <w:b/>
        </w:rPr>
        <w:t>Key Contribution:</w:t>
      </w:r>
      <w:r>
        <w:t xml:space="preserve"> Automatic, stable tuning of learned indexes that adapts to changing workloads.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Taiyi Wang, Liang Liang, Guang Y. Yang, Thomas Heinis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(A New Paradigm in Tuning Learned Indexes: A Reinforcement Learning Enhanced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(A New Paradigm in Tuning Learned Indexes: A Reinforcement Learning Enhanced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New Paradigm in Tuning Learned Indexes: A Reinforcement Learning Enhanced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New Paradigm in Tuning Learned Indexes: A Reinforcement Learning Enhanced Approach* (Proceedings of the ACM on Management of Data, 2025)</w:t>
      </w:r>
    </w:p>
    <w:p>
      <w:pPr>
        <w:pStyle w:val="Heading2"/>
        <w:spacing w:before="200" w:after="60"/>
      </w:pPr>
      <w:r>
        <w:t>Tier 2 — Research Evolution</w:t>
      </w:r>
    </w:p>
    <w:p>
      <w:r>
        <w:t>2. *A New Paradigm in Tuning Learned Indexes: A Reinforcement Learning Enhanced Approach* (Proceedings of the ACM on Management of Data, 2025)</w:t>
      </w:r>
    </w:p>
    <w:p>
      <w:pPr>
        <w:pStyle w:val="Heading2"/>
        <w:spacing w:before="200" w:after="60"/>
      </w:pPr>
      <w:r>
        <w:t>Tier 3 — PhD Alignment</w:t>
      </w:r>
    </w:p>
    <w:p>
      <w:r>
        <w:t>3. *A New Paradigm in Tuning Learned Indexes: A Reinforcement Learning Enhanced Approach* (Proceedings of the ACM on Management of Data,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2025 to 2025,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