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"/>
      </w:pPr>
      <w:r>
        <w:rPr>
          <w:rFonts w:ascii="Calibri" w:cs="Calibri" w:eastAsia="Calibri" w:hAnsi="Calibri"/>
          <w:b/>
          <w:bCs/>
          <w:color w:val="1F3A5F"/>
          <w:spacing w:val="30"/>
          <w:sz w:val="32"/>
          <w:szCs w:val="32"/>
        </w:rPr>
        <w:t>MOUSA BATARSEH</w:t>
      </w:r>
    </w:p>
    <w:p>
      <w:pPr>
        <w:pBdr>
          <w:bottom w:val="single" w:color="1F3A5F" w:sz="6" w:space="6"/>
        </w:pBdr>
        <w:spacing w:after="220"/>
      </w:pPr>
      <w:r>
        <w:rPr>
          <w:rFonts w:ascii="Calibri" w:cs="Calibri" w:eastAsia="Calibri" w:hAnsi="Calibri"/>
          <w:color w:val="555555"/>
          <w:sz w:val="18"/>
          <w:szCs w:val="18"/>
        </w:rPr>
        <w:t>Warren, MI 48093  |  (248) 810-1816  |  hireme@mousabatarseh.com  |  mousabatarseh.com  |  linkedin.com/in/mousabatarseh</w:t>
      </w:r>
    </w:p>
    <w:p>
      <w:pPr>
        <w:spacing w:after="180" w:line="276"/>
      </w:pPr>
      <w:r>
        <w:rPr>
          <w:rFonts w:ascii="Calibri" w:cs="Calibri" w:eastAsia="Calibri" w:hAnsi="Calibri"/>
          <w:color w:val="555555"/>
          <w:sz w:val="22"/>
          <w:szCs w:val="22"/>
        </w:rPr>
        <w:t>September 28, 2026</w:t>
      </w:r>
    </w:p>
    <w:p>
      <w:pPr>
        <w:spacing w:after="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>Blueroot Health — DTC Operations Manager</w:t>
      </w:r>
    </w:p>
    <w:p>
      <w:pPr>
        <w:spacing w:after="220" w:line="276"/>
      </w:pPr>
      <w:r>
        <w:rPr>
          <w:rFonts w:ascii="Calibri" w:cs="Calibri" w:eastAsia="Calibri" w:hAnsi="Calibri"/>
          <w:color w:val="555555"/>
          <w:sz w:val="22"/>
          <w:szCs w:val="22"/>
        </w:rPr>
        <w:t>Re: DTC Operations Manager (fully remote)</w:t>
      </w:r>
    </w:p>
    <w:p>
      <w:pPr>
        <w:spacing w:after="150" w:line="276"/>
      </w:pPr>
      <w:r>
        <w:rPr>
          <w:rFonts w:ascii="Calibri" w:cs="Calibri" w:eastAsia="Calibri" w:hAnsi="Calibri"/>
          <w:sz w:val="22"/>
          <w:szCs w:val="22"/>
        </w:rPr>
        <w:t>Hi Blueroot ecommerce team,</w:t>
      </w:r>
    </w:p>
    <w:p>
      <w:pPr>
        <w:spacing w:after="150" w:line="276"/>
      </w:pPr>
      <w:r>
        <w:rPr>
          <w:rFonts w:ascii="Calibri" w:cs="Calibri" w:eastAsia="Calibri" w:hAnsi="Calibri"/>
          <w:sz w:val="22"/>
          <w:szCs w:val="22"/>
        </w:rPr>
        <w:t>Before applying, I read the four stores the way the posting describes the job: fairhavenhealth.com in full and bariatricfusion.com, vitalnutrients.co and unjury.com sampled — 397 published products, 57 page fetches, no logins. The review, with working fixes and a weekly QA workbook, is at mousabatarseh.com/blueroot-review/. It opens with what works, and a lot does: Fairhaven scores 95 of 100 on the 29-check rubric I run on Michigan storefronts, the best result I have measured this year.</w:t>
      </w:r>
    </w:p>
    <w:p>
      <w:pPr>
        <w:spacing w:after="150" w:line="276"/>
      </w:pPr>
      <w:r>
        <w:rPr>
          <w:rFonts w:ascii="Calibri" w:cs="Calibri" w:eastAsia="Calibri" w:hAnsi="Calibri"/>
          <w:sz w:val="22"/>
          <w:szCs w:val="22"/>
        </w:rPr>
        <w:t>The findings are the operating gaps a Monday checklist catches. Three of the eight footer "Shop" links open an empty or one-sold-out-item collection. Because All Products sorts A–Z, the one sold-out product sits second on the page and second in the search drawer's Trending Now on every page of the store. Five single-variant products carry a "30% off select sizes" badge while the card, the PDP, the JSON-LD and the subscription price all show full price. Every one of 20 sampled titles runs 73–91 characters. And the four stores ship from one address with three free-shipping thresholds and two delivery promises. Each finding on the page has a count, the Shopify change that fixes it, and a working prototype built on your own product data.</w:t>
      </w:r>
    </w:p>
    <w:p>
      <w:pPr>
        <w:spacing w:after="150" w:line="276"/>
      </w:pPr>
      <w:r>
        <w:rPr>
          <w:rFonts w:ascii="Calibri" w:cs="Calibri" w:eastAsia="Calibri" w:hAnsi="Calibri"/>
          <w:sz w:val="22"/>
          <w:szCs w:val="22"/>
        </w:rPr>
        <w:t>For seven years I have run retail and wholesale storefronts on Shopify and WooCommerce: product setup and catalog data for 14,000+ SKUs, promotions and seasonal launches, the QA that keeps prices and pages honest, and the GA4 and Search Console reporting behind it. The weekly sheet on the page is the cadence I would run from the first Monday.</w:t>
      </w:r>
    </w:p>
    <w:p>
      <w:pPr>
        <w:spacing w:after="150" w:line="276"/>
      </w:pPr>
      <w:r>
        <w:rPr>
          <w:rFonts w:ascii="Calibri" w:cs="Calibri" w:eastAsia="Calibri" w:hAnsi="Calibri"/>
          <w:sz w:val="22"/>
          <w:szCs w:val="22"/>
        </w:rPr>
        <w:t>Two things to say plainly. I have not administered Recharge, and my 3PL coordination has been with a warehouse rather than a named fulfillment partner — the order flow, inventory sync and exception handling are the same work. I stayed away from all health and product-claim language; that review belongs to your regulatory team.</w:t>
      </w:r>
    </w:p>
    <w:p>
      <w:pPr>
        <w:spacing w:after="150" w:line="276"/>
      </w:pPr>
      <w:r>
        <w:rPr>
          <w:rFonts w:ascii="Calibri" w:cs="Calibri" w:eastAsia="Calibri" w:hAnsi="Calibri"/>
          <w:sz w:val="22"/>
          <w:szCs w:val="22"/>
        </w:rPr>
        <w:t>I'd welcome a call to walk through the review and the workbook.</w:t>
      </w:r>
    </w:p>
    <w:p>
      <w:pPr>
        <w:spacing w:after="150" w:line="276"/>
      </w:pPr>
      <w:r>
        <w:rPr>
          <w:rFonts w:ascii="Calibri" w:cs="Calibri" w:eastAsia="Calibri" w:hAnsi="Calibri"/>
          <w:sz w:val="22"/>
          <w:szCs w:val="22"/>
        </w:rPr>
        <w:t>Thank you,</w:t>
      </w:r>
    </w:p>
    <w:p>
      <w:pPr>
        <w:spacing w:after="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>Mousa Batarseh</w:t>
      </w:r>
    </w:p>
    <w:p>
      <w:pPr>
        <w:spacing w:after="150" w:line="276"/>
      </w:pPr>
      <w:r>
        <w:rPr>
          <w:rFonts w:ascii="Calibri" w:cs="Calibri" w:eastAsia="Calibri" w:hAnsi="Calibri"/>
          <w:color w:val="555555"/>
          <w:sz w:val="20"/>
          <w:szCs w:val="20"/>
        </w:rPr>
        <w:t>(248) 810-1816 · hireme@mousabatarseh.com</w:t>
      </w:r>
    </w:p>
    <w:sectPr>
      <w:pgSz w:w="12240" w:h="15840" w:orient="portrait"/>
      <w:pgMar w:top="1000" w:right="1150" w:bottom="90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Mousa Batarseh — Cover Letter — Conexess Group</dc:title>
  <dc:creator>Mousa Batarseh</dc:creator>
  <cp:lastModifiedBy>Un-named</cp:lastModifiedBy>
  <cp:revision>1</cp:revision>
  <dcterms:created xsi:type="dcterms:W3CDTF">2026-09-25T18:19:52.862Z</dcterms:created>
  <dcterms:modified xsi:type="dcterms:W3CDTF">2026-09-25T18:19:52.862Z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