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480" w:after="120"/>
      </w:pPr>
      <w:r>
        <w:rPr>
          <w:rFonts w:ascii="Georgia" w:hAnsi="Georgia" w:cs="Georgia"/>
          <w:sz w:val="40"/>
          <w:sz-cs w:val="40"/>
          <w:b/>
          <w:color w:val="1F3864"/>
        </w:rPr>
        <w:t xml:space="preserve">Time as an Induced Coordinate:</w:t>
      </w:r>
    </w:p>
    <w:p>
      <w:pPr>
        <w:jc w:val="center"/>
        <w:spacing w:after="200"/>
      </w:pPr>
      <w:r>
        <w:rPr>
          <w:rFonts w:ascii="Georgia" w:hAnsi="Georgia" w:cs="Georgia"/>
          <w:sz w:val="28"/>
          <w:sz-cs w:val="28"/>
          <w:b/>
          <w:i/>
          <w:color w:val="1F3864"/>
        </w:rPr>
        <w:t xml:space="preserve">Implications for Forecasting, Risk, and Institutional Governance</w:t>
      </w:r>
    </w:p>
    <w:p>
      <w:pPr>
        <w:jc w:val="center"/>
        <w:spacing w:after="80"/>
      </w:pPr>
      <w:r>
        <w:rPr>
          <w:rFonts w:ascii="Georgia" w:hAnsi="Georgia" w:cs="Georgia"/>
          <w:sz w:val="22"/>
          <w:sz-cs w:val="22"/>
          <w:b/>
        </w:rPr>
        <w:t xml:space="preserve">J. M. Bookbinder</w:t>
      </w:r>
    </w:p>
    <w:p>
      <w:pPr>
        <w:jc w:val="center"/>
        <w:spacing w:after="80"/>
      </w:pPr>
      <w:r>
        <w:rPr>
          <w:rFonts w:ascii="Georgia" w:hAnsi="Georgia" w:cs="Georgia"/>
          <w:sz w:val="20"/>
          <w:sz-cs w:val="20"/>
          <w:color w:val="555555"/>
        </w:rPr>
        <w:t xml:space="preserve">Witness Grade Analytics, LLC  •  Atlanta, Georgia, USA</w:t>
      </w:r>
    </w:p>
    <w:p>
      <w:pPr>
        <w:jc w:val="center"/>
        <w:spacing w:after="80"/>
      </w:pPr>
      <w:r>
        <w:rPr>
          <w:rFonts w:ascii="Georgia" w:hAnsi="Georgia" w:cs="Georgia"/>
          <w:sz w:val="18"/>
          <w:sz-cs w:val="18"/>
          <w:color w:val="555555"/>
        </w:rPr>
        <w:t xml:space="preserve">Reference: WG-CC-GOV-v1.1  •  Patent Pending NP 19/434,025</w:t>
      </w:r>
    </w:p>
    <w:p>
      <w:pPr>
        <w:spacing w:before="100" w:after="100"/>
      </w:pPr>
      <w:r>
        <w:rPr>
          <w:rFonts w:ascii="Georgia" w:hAnsi="Georgia" w:cs="Georgia"/>
          <w:sz w:val="18"/>
          <w:sz-cs w:val="18"/>
          <w:color w:val="555555"/>
        </w:rPr>
        <w:t xml:space="preserve"/>
      </w:r>
    </w:p>
    <w:p>
      <w:pPr>
        <w:spacing w:after="80"/>
      </w:pPr>
      <w:r>
        <w:rPr>
          <w:rFonts w:ascii="Georgia" w:hAnsi="Georgia" w:cs="Georgia"/>
          <w:sz w:val="18"/>
          <w:sz-cs w:val="18"/>
          <w:color w:val="555555"/>
        </w:rPr>
        <w:t xml:space="preserve"/>
      </w:r>
    </w:p>
    <w:p>
      <w:pPr>
        <w:spacing w:before="360" w:after="160"/>
      </w:pPr>
      <w:r>
        <w:rPr>
          <w:rFonts w:ascii="Georgia" w:hAnsi="Georgia" w:cs="Georgia"/>
          <w:sz w:val="28"/>
          <w:sz-cs w:val="28"/>
          <w:b/>
          <w:color w:val="1F3864"/>
        </w:rPr>
        <w:t xml:space="preserve">Abstract</w:t>
      </w:r>
    </w:p>
    <w:p>
      <w:pPr>
        <w:jc w:val="both"/>
        <w:spacing w:after="140"/>
      </w:pPr>
      <w:r>
        <w:rPr>
          <w:rFonts w:ascii="Georgia" w:hAnsi="Georgia" w:cs="Georgia"/>
          <w:sz w:val="22"/>
          <w:sz-cs w:val="22"/>
        </w:rPr>
        <w:t xml:space="preserve">Modern institutions rely on temporal forecasts to guide decisions, allocate authority, and justify intervention. Deadlines and prediction horizons are routinely treated as causal drivers of outcomes rather than descriptive coordinates of structural conditions. Repeated systemic failures across finance, infrastructure, technology deployment, and public policy suggest that such temporal authority frequently exceeds what the underlying system structure can support.</w:t>
      </w:r>
    </w:p>
    <w:p>
      <w:pPr>
        <w:jc w:val="both"/>
        <w:spacing w:after="140"/>
      </w:pPr>
      <w:r>
        <w:rPr>
          <w:rFonts w:ascii="Georgia" w:hAnsi="Georgia" w:cs="Georgia"/>
          <w:sz w:val="22"/>
          <w:sz-cs w:val="22"/>
        </w:rPr>
        <w:t xml:space="preserve">This paper proposes a corrective framework grounded in two governing principles: (1) legitimacy arises from persistence under refinement, and (2) time is an induced coordinate derived from structural order, not an independent causal variable. Under this interpretation, forecasting becomes a measurement of structural proximity to known regimes or instability thresholds rather than a declaration of future events.</w:t>
      </w:r>
    </w:p>
    <w:p>
      <w:pPr>
        <w:jc w:val="both"/>
        <w:spacing w:after="140"/>
      </w:pPr>
      <w:r>
        <w:rPr>
          <w:rFonts w:ascii="Georgia" w:hAnsi="Georgia" w:cs="Georgia"/>
          <w:sz w:val="22"/>
          <w:sz-cs w:val="22"/>
        </w:rPr>
        <w:t xml:space="preserve">The framework redefines forecasting as an ordering instrument within an admissible structural lattice of witnessed states. Institutional forecasts are admissible only when they preserve structural coherence under refinement and when their meaning remains valid if explicit time indices are removed. Adoption of this framework improves auditability, reduces harm caused by premature certainty, and prevents temporal rhetoric from substituting for structural evidence.</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1. Introduction</w:t>
      </w:r>
    </w:p>
    <w:p>
      <w:pPr>
        <w:jc w:val="both"/>
        <w:spacing w:after="140"/>
      </w:pPr>
      <w:r>
        <w:rPr>
          <w:rFonts w:ascii="Georgia" w:hAnsi="Georgia" w:cs="Georgia"/>
          <w:sz w:val="22"/>
          <w:sz-cs w:val="22"/>
        </w:rPr>
        <w:t xml:space="preserve">Across disciplines and across time, institutions have relied on forecasting as a mechanism for coordinating collective action. Economic forecasts guide financial markets, engineering projections determine infrastructure lifetimes, and predictive models influence public health and technology deployment decisions. In most institutional environments, these forecasts are expressed in temporal terms: an event will occur by a certain date, a threshold will be reached within a given horizon, or a system will fail after a specified duration.</w:t>
      </w:r>
    </w:p>
    <w:p>
      <w:pPr>
        <w:jc w:val="both"/>
        <w:spacing w:after="140"/>
      </w:pPr>
      <w:r>
        <w:rPr>
          <w:rFonts w:ascii="Georgia" w:hAnsi="Georgia" w:cs="Georgia"/>
          <w:sz w:val="22"/>
          <w:sz-cs w:val="22"/>
        </w:rPr>
        <w:t xml:space="preserve">The empirical record across multiple domains suggests these temporal claims frequently fail. Financial crises occur outside predicted windows. Infrastructure failures appear earlier or later than estimated. Predictive models deployed in policy environments regularly produce outcomes that diverge from the timelines used to justify the policy itself.</w:t>
      </w:r>
    </w:p>
    <w:p>
      <w:pPr>
        <w:jc w:val="both"/>
        <w:spacing w:after="140"/>
      </w:pPr>
      <w:r>
        <w:rPr>
          <w:rFonts w:ascii="Georgia" w:hAnsi="Georgia" w:cs="Georgia"/>
          <w:sz w:val="22"/>
          <w:sz-cs w:val="22"/>
        </w:rPr>
        <w:t xml:space="preserve">Such failures are commonly attributed to uncertainty, insufficient data, or modeling limitations. A deeper structural issue may be present, however: institutions frequently treat time itself as the authority that justifies action. When a deadline approaches, intervention appears warranted even when the underlying structural evidence remains ambiguous. The deadline does the work that evidence should do.</w:t>
      </w:r>
    </w:p>
    <w:p>
      <w:pPr>
        <w:jc w:val="both"/>
        <w:spacing w:after="140"/>
      </w:pPr>
      <w:r>
        <w:rPr>
          <w:rFonts w:ascii="Georgia" w:hAnsi="Georgia" w:cs="Georgia"/>
          <w:sz w:val="22"/>
          <w:sz-cs w:val="22"/>
        </w:rPr>
        <w:t xml:space="preserve">This paper argues that time should not be treated as a causal authority. Instead, time should be understood as an induced coordinate arising from structural ordering relationships between system states. Forecasts therefore describe relative structural proximity rather than inevitable temporal progression. This reframes forecasting as a measurement problem rather than a prediction problem.</w:t>
      </w:r>
    </w:p>
    <w:p>
      <w:pPr>
        <w:jc w:val="both"/>
        <w:spacing w:after="140"/>
      </w:pPr>
      <w:r>
        <w:rPr>
          <w:rFonts w:ascii="Georgia" w:hAnsi="Georgia" w:cs="Georgia"/>
          <w:sz w:val="22"/>
          <w:sz-cs w:val="22"/>
        </w:rPr>
        <w:t xml:space="preserve">The argument proceeds in two stages, which correspond to two distinct claims that are often conflated in the literature. The first is epistemological: that temporal forecasts are routinely overconfident because they treat time as explanatory. The second is structural: that time, properly analyzed, is a derived index of structural order rather than a primary causal variable. The epistemological claim is compatible with standard forecasting practice; the structural claim requires a more fundamental revision.</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2. Theoretical Background</w:t>
      </w:r>
    </w:p>
    <w:p>
      <w:pPr>
        <w:spacing w:before="240" w:after="100"/>
      </w:pPr>
      <w:r>
        <w:rPr>
          <w:rFonts w:ascii="Georgia" w:hAnsi="Georgia" w:cs="Georgia"/>
          <w:sz w:val="24"/>
          <w:sz-cs w:val="24"/>
          <w:b/>
          <w:color w:val="1F3864"/>
        </w:rPr>
        <w:t xml:space="preserve">2.1 Forecasting and Institutional Authority</w:t>
      </w:r>
    </w:p>
    <w:p>
      <w:pPr>
        <w:jc w:val="both"/>
        <w:spacing w:after="140"/>
      </w:pPr>
      <w:r>
        <w:rPr>
          <w:rFonts w:ascii="Georgia" w:hAnsi="Georgia" w:cs="Georgia"/>
          <w:sz w:val="22"/>
          <w:sz-cs w:val="22"/>
        </w:rPr>
        <w:t xml:space="preserve">Forecasting has long served as an institutional instrument for coordinating expectations. In economics and risk management, forecasts are treated as probabilistic predictions derived from statistical models or expert judgment (Tetlock and Gardner 2015). In engineering reliability analysis, projections estimate the expected lifetime of systems under specified operating conditions (Leveson 2012). Across domains, the dominant approach treats time as an explanatory variable: systems evolve through time toward future states, and predictions estimate when those states will occur.</w:t>
      </w:r>
    </w:p>
    <w:p>
      <w:pPr>
        <w:jc w:val="both"/>
        <w:spacing w:after="140"/>
      </w:pPr>
      <w:r>
        <w:rPr>
          <w:rFonts w:ascii="Georgia" w:hAnsi="Georgia" w:cs="Georgia"/>
          <w:sz w:val="22"/>
          <w:sz-cs w:val="22"/>
        </w:rPr>
        <w:t xml:space="preserve">Systems theory and cybernetics offer a different starting point. Ashby (1956) and Wiener (1948) emphasize structural relationships between states rather than temporal inevitability. Under this view, transitions between states occur only when structural conditions permit them. The distinction is subtle but consequential: if time is causal, forecasts can legitimately assert future outcomes; if time is induced, forecasts merely describe the relative ordering of structural configurations.</w:t>
      </w:r>
    </w:p>
    <w:p>
      <w:pPr>
        <w:jc w:val="both"/>
        <w:spacing w:after="140"/>
      </w:pPr>
      <w:r>
        <w:rPr>
          <w:rFonts w:ascii="Georgia" w:hAnsi="Georgia" w:cs="Georgia"/>
          <w:sz w:val="22"/>
          <w:sz-cs w:val="22"/>
        </w:rPr>
        <w:t xml:space="preserve">This paper is not the first to question the primacy of time. Barbour (1999) argues from physics that time is not fundamental but emerges from the relational structure of configurations. Whitehead’s process philosophy similarly grounds temporal order in structural becoming rather than treating time as a container for events. Category theory provides formal tools for reasoning about structural order without privileging any particular temporal index. The framework developed here applies these ideas to the specific problem of institutional forecasting and governance, a domain where the practical consequences of conflating time with causation are most visible.</w:t>
      </w:r>
    </w:p>
    <w:p>
      <w:pPr>
        <w:spacing w:before="240" w:after="100"/>
      </w:pPr>
      <w:r>
        <w:rPr>
          <w:rFonts w:ascii="Georgia" w:hAnsi="Georgia" w:cs="Georgia"/>
          <w:sz w:val="24"/>
          <w:sz-cs w:val="24"/>
          <w:b/>
          <w:color w:val="1F3864"/>
        </w:rPr>
        <w:t xml:space="preserve">2.2 Structural Ordering and Refinement</w:t>
      </w:r>
    </w:p>
    <w:p>
      <w:pPr>
        <w:jc w:val="both"/>
        <w:spacing w:after="140"/>
      </w:pPr>
      <w:r>
        <w:rPr>
          <w:rFonts w:ascii="Georgia" w:hAnsi="Georgia" w:cs="Georgia"/>
          <w:sz w:val="22"/>
          <w:sz-cs w:val="22"/>
        </w:rPr>
        <w:t xml:space="preserve">Let S represent the set of admissible structural states of a system. Define a refinement relation </w:t>
      </w:r>
      <w:r>
        <w:rPr>
          <w:rFonts w:ascii="Apple Symbols" w:hAnsi="Apple Symbols" w:cs="Apple Symbols"/>
          <w:sz w:val="22"/>
          <w:sz-cs w:val="22"/>
        </w:rPr>
        <w:t xml:space="preserve">≼</w:t>
      </w:r>
      <w:r>
        <w:rPr>
          <w:rFonts w:ascii="Georgia" w:hAnsi="Georgia" w:cs="Georgia"/>
          <w:sz w:val="22"/>
          <w:sz-cs w:val="22"/>
        </w:rPr>
        <w:t xml:space="preserve"> on S such that s₁ </w:t>
      </w:r>
      <w:r>
        <w:rPr>
          <w:rFonts w:ascii="Apple Symbols" w:hAnsi="Apple Symbols" w:cs="Apple Symbols"/>
          <w:sz w:val="22"/>
          <w:sz-cs w:val="22"/>
        </w:rPr>
        <w:t xml:space="preserve">≼</w:t>
      </w:r>
      <w:r>
        <w:rPr>
          <w:rFonts w:ascii="Georgia" w:hAnsi="Georgia" w:cs="Georgia"/>
          <w:sz w:val="22"/>
          <w:sz-cs w:val="22"/>
        </w:rPr>
        <w:t xml:space="preserve"> s₂ indicates that s₂ is a refinement of s₁ through additional information, measurement resolution, or observational scope. A claim about system behavior is considered structurally admissible if it remains stable under refinement: additional data or observational scope should not invalidate the claim. If they do, the claim lacks structural legitimacy regardless of the temporal narrative supporting it.</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3. Time as an Induced Coordinate</w:t>
      </w:r>
    </w:p>
    <w:p>
      <w:pPr>
        <w:spacing w:before="240" w:after="100"/>
      </w:pPr>
      <w:r>
        <w:rPr>
          <w:rFonts w:ascii="Georgia" w:hAnsi="Georgia" w:cs="Georgia"/>
          <w:sz w:val="24"/>
          <w:sz-cs w:val="24"/>
          <w:b/>
          <w:color w:val="1F3864"/>
        </w:rPr>
        <w:t xml:space="preserve">3.1 Coordinate Versus Cause</w:t>
      </w:r>
    </w:p>
    <w:p>
      <w:pPr>
        <w:jc w:val="both"/>
        <w:spacing w:after="140"/>
      </w:pPr>
      <w:r>
        <w:rPr>
          <w:rFonts w:ascii="Georgia" w:hAnsi="Georgia" w:cs="Georgia"/>
          <w:sz w:val="22"/>
          <w:sz-cs w:val="22"/>
        </w:rPr>
        <w:t xml:space="preserve">In many institutional settings, time is treated as an agent: time drives degradation, time forces decisions, and time authorizes intervention. A coordinate, by contrast, indexes position within a structured space. It does not compel motion. Under an induced-coordinate view, “future” refers to states not yet witnessed under the current refinement level, not to a destination guaranteed by a clock.</w:t>
      </w:r>
    </w:p>
    <w:p>
      <w:pPr>
        <w:jc w:val="both"/>
        <w:spacing w:after="140"/>
      </w:pPr>
      <w:r>
        <w:rPr>
          <w:rFonts w:ascii="Georgia" w:hAnsi="Georgia" w:cs="Georgia"/>
          <w:sz w:val="22"/>
          <w:sz-cs w:val="22"/>
        </w:rPr>
        <w:t xml:space="preserve">This distinction has practical force. When a deadline is treated as a cause, the proximity of the deadline becomes justification for action even in the absence of structural evidence. When a deadline is treated as a coordinate, it loses this authority; only structural proximity to a witnessed regime or instability threshold can justify action.</w:t>
      </w:r>
    </w:p>
    <w:p>
      <w:pPr>
        <w:spacing w:before="240" w:after="100"/>
      </w:pPr>
      <w:r>
        <w:rPr>
          <w:rFonts w:ascii="Georgia" w:hAnsi="Georgia" w:cs="Georgia"/>
          <w:sz w:val="24"/>
          <w:sz-cs w:val="24"/>
          <w:b/>
          <w:color w:val="1F3864"/>
        </w:rPr>
        <w:t xml:space="preserve">3.2 Formal Definition of the Induced Coordinate</w:t>
      </w:r>
    </w:p>
    <w:p>
      <w:pPr>
        <w:jc w:val="both"/>
        <w:spacing w:after="140"/>
      </w:pPr>
      <w:r>
        <w:rPr>
          <w:rFonts w:ascii="Georgia" w:hAnsi="Georgia" w:cs="Georgia"/>
          <w:sz w:val="22"/>
          <w:sz-cs w:val="22"/>
        </w:rPr>
        <w:t xml:space="preserve">Let (S, </w:t>
      </w:r>
      <w:r>
        <w:rPr>
          <w:rFonts w:ascii="Apple Symbols" w:hAnsi="Apple Symbols" w:cs="Apple Symbols"/>
          <w:sz w:val="22"/>
          <w:sz-cs w:val="22"/>
        </w:rPr>
        <w:t xml:space="preserve">≼</w:t>
      </w:r>
      <w:r>
        <w:rPr>
          <w:rFonts w:ascii="Georgia" w:hAnsi="Georgia" w:cs="Georgia"/>
          <w:sz w:val="22"/>
          <w:sz-cs w:val="22"/>
        </w:rPr>
        <w:t xml:space="preserve">) be an ordered set of structural states under refinement. Define an induced time coordinate t as a function:</w:t>
      </w:r>
    </w:p>
    <w:p>
      <w:pPr>
        <w:spacing w:after="80"/>
      </w:pPr>
      <w:r>
        <w:rPr>
          <w:rFonts w:ascii="Georgia" w:hAnsi="Georgia" w:cs="Georgia"/>
          <w:sz w:val="22"/>
          <w:sz-cs w:val="22"/>
        </w:rPr>
        <w:t xml:space="preserve"/>
      </w:r>
    </w:p>
    <w:p>
      <w:pPr>
        <w:jc w:val="both"/>
        <w:ind w:left="720"/>
        <w:spacing w:after="120"/>
      </w:pPr>
      <w:r>
        <w:rPr>
          <w:rFonts w:ascii="Georgia" w:hAnsi="Georgia" w:cs="Georgia"/>
          <w:sz w:val="22"/>
          <w:sz-cs w:val="22"/>
          <w:i/>
          <w:color w:val="555555"/>
        </w:rPr>
        <w:t xml:space="preserve">t : S </w:t>
      </w:r>
      <w:r>
        <w:rPr>
          <w:rFonts w:ascii="Times New Roman" w:hAnsi="Times New Roman" w:cs="Times New Roman"/>
          <w:sz w:val="22"/>
          <w:sz-cs w:val="22"/>
          <w:i/>
          <w:color w:val="555555"/>
        </w:rPr>
        <w:t xml:space="preserve">→</w:t>
      </w:r>
      <w:r>
        <w:rPr>
          <w:rFonts w:ascii="Georgia" w:hAnsi="Georgia" w:cs="Georgia"/>
          <w:sz w:val="22"/>
          <w:sz-cs w:val="22"/>
          <w:i/>
          <w:color w:val="555555"/>
        </w:rPr>
        <w:t xml:space="preserve"> </w:t>
      </w:r>
      <w:r>
        <w:rPr>
          <w:rFonts w:ascii="Menlo" w:hAnsi="Menlo" w:cs="Menlo"/>
          <w:sz w:val="22"/>
          <w:sz-cs w:val="22"/>
          <w:i/>
          <w:color w:val="555555"/>
        </w:rPr>
        <w:t xml:space="preserve">ℝ</w:t>
      </w:r>
      <w:r>
        <w:rPr>
          <w:rFonts w:ascii="Georgia" w:hAnsi="Georgia" w:cs="Georgia"/>
          <w:sz w:val="22"/>
          <w:sz-cs w:val="22"/>
          <w:i/>
          <w:color w:val="555555"/>
        </w:rPr>
        <w:t xml:space="preserve">, monotone with respect to </w:t>
      </w:r>
      <w:r>
        <w:rPr>
          <w:rFonts w:ascii="Apple Symbols" w:hAnsi="Apple Symbols" w:cs="Apple Symbols"/>
          <w:sz w:val="22"/>
          <w:sz-cs w:val="22"/>
          <w:color w:val="555555"/>
        </w:rPr>
        <w:t xml:space="preserve">≼</w:t>
      </w:r>
      <w:r>
        <w:rPr>
          <w:rFonts w:ascii="Georgia" w:hAnsi="Georgia" w:cs="Georgia"/>
          <w:sz w:val="22"/>
          <w:sz-cs w:val="22"/>
          <w:i/>
          <w:color w:val="555555"/>
        </w:rPr>
        <w:t xml:space="preserve">, such that if s₁ </w:t>
      </w:r>
      <w:r>
        <w:rPr>
          <w:rFonts w:ascii="Apple Symbols" w:hAnsi="Apple Symbols" w:cs="Apple Symbols"/>
          <w:sz w:val="22"/>
          <w:sz-cs w:val="22"/>
          <w:color w:val="555555"/>
        </w:rPr>
        <w:t xml:space="preserve">≼</w:t>
      </w:r>
      <w:r>
        <w:rPr>
          <w:rFonts w:ascii="Georgia" w:hAnsi="Georgia" w:cs="Georgia"/>
          <w:sz w:val="22"/>
          <w:sz-cs w:val="22"/>
          <w:i/>
          <w:color w:val="555555"/>
        </w:rPr>
        <w:t xml:space="preserve"> s₂, then t(s₁) ≤ t(s₂).</w:t>
      </w:r>
    </w:p>
    <w:p>
      <w:pPr>
        <w:spacing w:after="80"/>
      </w:pPr>
      <w:r>
        <w:rPr>
          <w:rFonts w:ascii="Georgia" w:hAnsi="Georgia" w:cs="Georgia"/>
          <w:sz w:val="22"/>
          <w:sz-cs w:val="22"/>
          <w:i/>
          <w:color w:val="555555"/>
        </w:rPr>
        <w:t xml:space="preserve"/>
      </w:r>
    </w:p>
    <w:p>
      <w:pPr>
        <w:jc w:val="both"/>
        <w:spacing w:after="140"/>
      </w:pPr>
      <w:r>
        <w:rPr>
          <w:rFonts w:ascii="Georgia" w:hAnsi="Georgia" w:cs="Georgia"/>
          <w:sz w:val="22"/>
          <w:sz-cs w:val="22"/>
        </w:rPr>
        <w:t xml:space="preserve">Under this definition, time is not primary. It is a derived index that respects structural ordering. The structural order is prior; time tracks it. This is consistent with the induced-time constructions in relational mechanics, where temporal order is recovered from the configuration space of a system without positing time as a background variable.</w:t>
      </w:r>
    </w:p>
    <w:p>
      <w:pPr>
        <w:spacing w:before="240" w:after="100"/>
      </w:pPr>
      <w:r>
        <w:rPr>
          <w:rFonts w:ascii="Georgia" w:hAnsi="Georgia" w:cs="Georgia"/>
          <w:sz w:val="24"/>
          <w:sz-cs w:val="24"/>
          <w:b/>
          <w:color w:val="1F3864"/>
        </w:rPr>
        <w:t xml:space="preserve">3.3 Structural Admissibility</w:t>
      </w:r>
    </w:p>
    <w:p>
      <w:pPr>
        <w:jc w:val="both"/>
        <w:spacing w:after="140"/>
      </w:pPr>
      <w:r>
        <w:rPr>
          <w:rFonts w:ascii="Georgia" w:hAnsi="Georgia" w:cs="Georgia"/>
          <w:sz w:val="22"/>
          <w:sz-cs w:val="22"/>
        </w:rPr>
        <w:t xml:space="preserve">Let W denote the witness set used to describe structural state at a given refinement level. Write W₁ </w:t>
      </w:r>
      <w:r>
        <w:rPr>
          <w:rFonts w:ascii="Apple Symbols" w:hAnsi="Apple Symbols" w:cs="Apple Symbols"/>
          <w:sz w:val="22"/>
          <w:sz-cs w:val="22"/>
        </w:rPr>
        <w:t xml:space="preserve">≼</w:t>
      </w:r>
      <w:r>
        <w:rPr>
          <w:rFonts w:ascii="Georgia" w:hAnsi="Georgia" w:cs="Georgia"/>
          <w:sz w:val="22"/>
          <w:sz-cs w:val="22"/>
        </w:rPr>
        <w:t xml:space="preserve"> W₂ to indicate that W₂ refines W₁ by adding witnesses or increasing witness resolution.</w:t>
      </w:r>
    </w:p>
    <w:p>
      <w:pPr>
        <w:jc w:val="both"/>
        <w:spacing w:after="140"/>
      </w:pPr>
      <w:r>
        <w:rPr>
          <w:rFonts w:ascii="Georgia" w:hAnsi="Georgia" w:cs="Georgia"/>
          <w:sz w:val="22"/>
          <w:sz-cs w:val="22"/>
        </w:rPr>
        <w:t xml:space="preserve">A claim C about system behavior is structurally admissible only if its meaning persists under refinement. Formally, C is refinement-stable if for all s₁, s₂ in S and witness sets W₁, W₂ such that s₁ </w:t>
      </w:r>
      <w:r>
        <w:rPr>
          <w:rFonts w:ascii="Apple Symbols" w:hAnsi="Apple Symbols" w:cs="Apple Symbols"/>
          <w:sz w:val="22"/>
          <w:sz-cs w:val="22"/>
        </w:rPr>
        <w:t xml:space="preserve">≼</w:t>
      </w:r>
      <w:r>
        <w:rPr>
          <w:rFonts w:ascii="Georgia" w:hAnsi="Georgia" w:cs="Georgia"/>
          <w:sz w:val="22"/>
          <w:sz-cs w:val="22"/>
        </w:rPr>
        <w:t xml:space="preserve"> s₂ and W₁ </w:t>
      </w:r>
      <w:r>
        <w:rPr>
          <w:rFonts w:ascii="Apple Symbols" w:hAnsi="Apple Symbols" w:cs="Apple Symbols"/>
          <w:sz w:val="22"/>
          <w:sz-cs w:val="22"/>
        </w:rPr>
        <w:t xml:space="preserve">≼</w:t>
      </w:r>
      <w:r>
        <w:rPr>
          <w:rFonts w:ascii="Georgia" w:hAnsi="Georgia" w:cs="Georgia"/>
          <w:sz w:val="22"/>
          <w:sz-cs w:val="22"/>
        </w:rPr>
        <w:t xml:space="preserve"> W₂:</w:t>
      </w:r>
    </w:p>
    <w:p>
      <w:pPr>
        <w:spacing w:after="80"/>
      </w:pPr>
      <w:r>
        <w:rPr>
          <w:rFonts w:ascii="Georgia" w:hAnsi="Georgia" w:cs="Georgia"/>
          <w:sz w:val="22"/>
          <w:sz-cs w:val="22"/>
        </w:rPr>
        <w:t xml:space="preserve"/>
      </w:r>
    </w:p>
    <w:p>
      <w:pPr>
        <w:jc w:val="both"/>
        <w:ind w:left="720"/>
        <w:spacing w:after="120"/>
      </w:pPr>
      <w:r>
        <w:rPr>
          <w:rFonts w:ascii="Georgia" w:hAnsi="Georgia" w:cs="Georgia"/>
          <w:sz w:val="22"/>
          <w:sz-cs w:val="22"/>
          <w:i/>
          <w:color w:val="555555"/>
        </w:rPr>
        <w:t xml:space="preserve">C(s₁, W₁) </w:t>
      </w:r>
      <w:r>
        <w:rPr>
          <w:rFonts w:ascii="Times New Roman" w:hAnsi="Times New Roman" w:cs="Times New Roman"/>
          <w:sz w:val="22"/>
          <w:sz-cs w:val="22"/>
          <w:i/>
          <w:color w:val="555555"/>
        </w:rPr>
        <w:t xml:space="preserve">≡</w:t>
      </w:r>
      <w:r>
        <w:rPr>
          <w:rFonts w:ascii="Georgia" w:hAnsi="Georgia" w:cs="Georgia"/>
          <w:sz w:val="22"/>
          <w:sz-cs w:val="22"/>
          <w:i/>
          <w:color w:val="555555"/>
        </w:rPr>
        <w:t xml:space="preserve"> C(s₂, W₂)</w:t>
      </w:r>
    </w:p>
    <w:p>
      <w:pPr>
        <w:spacing w:after="80"/>
      </w:pPr>
      <w:r>
        <w:rPr>
          <w:rFonts w:ascii="Georgia" w:hAnsi="Georgia" w:cs="Georgia"/>
          <w:sz w:val="22"/>
          <w:sz-cs w:val="22"/>
          <w:i/>
          <w:color w:val="555555"/>
        </w:rPr>
        <w:t xml:space="preserve"/>
      </w:r>
    </w:p>
    <w:p>
      <w:pPr>
        <w:jc w:val="both"/>
        <w:spacing w:after="140"/>
      </w:pPr>
      <w:r>
        <w:rPr>
          <w:rFonts w:ascii="Georgia" w:hAnsi="Georgia" w:cs="Georgia"/>
          <w:sz w:val="22"/>
          <w:sz-cs w:val="22"/>
        </w:rPr>
        <w:t xml:space="preserve">where equivalence (</w:t>
      </w:r>
      <w:r>
        <w:rPr>
          <w:rFonts w:ascii="Times New Roman" w:hAnsi="Times New Roman" w:cs="Times New Roman"/>
          <w:sz w:val="22"/>
          <w:sz-cs w:val="22"/>
        </w:rPr>
        <w:t xml:space="preserve">≡</w:t>
      </w:r>
      <w:r>
        <w:rPr>
          <w:rFonts w:ascii="Georgia" w:hAnsi="Georgia" w:cs="Georgia"/>
          <w:sz w:val="22"/>
          <w:sz-cs w:val="22"/>
        </w:rPr>
        <w:t xml:space="preserve">) is defined over the interpretive content of C — that is, the regime reference and directional implication of the claim, not its numerical value. A numerical update that preserves the regime reference and directional implication is admissible. A shift that reverses interpretation or changes regime reference without an auditable introduction of materially new witnesses is inadmissible.</w:t>
      </w:r>
    </w:p>
    <w:p>
      <w:pPr>
        <w:jc w:val="both"/>
        <w:spacing w:after="140"/>
      </w:pPr>
      <w:r>
        <w:rPr>
          <w:rFonts w:ascii="Georgia" w:hAnsi="Georgia" w:cs="Georgia"/>
          <w:sz w:val="22"/>
          <w:sz-cs w:val="22"/>
        </w:rPr>
        <w:t xml:space="preserve">This definition supplies the governing legitimacy criterion used throughout this paper: persistence under refinement is the admissibility condition for forecasting claims.</w:t>
      </w:r>
    </w:p>
    <w:p>
      <w:pPr>
        <w:jc w:val="both"/>
        <w:spacing w:after="140"/>
      </w:pPr>
      <w:r>
        <w:rPr>
          <w:rFonts w:ascii="Georgia" w:hAnsi="Georgia" w:cs="Georgia"/>
          <w:sz w:val="22"/>
          <w:sz-cs w:val="22"/>
        </w:rPr>
        <w:t xml:space="preserve">A practical question immediately arises: how does a reviewer distinguish a legitimate witness update from retroactive narrative repair? The answer lies in auditability. A legitimate update introduces witnesses that were not previously available and records the causal pathway from those witnesses to the change in claim content. Narrative repair, by contrast, reframes existing evidence or shifts terminology without recording the pathway. The requirement of an auditable explanation is therefore not optional; it is the operational criterion that separates the two.</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4. Forecasting as Structural Measurement</w:t>
      </w:r>
    </w:p>
    <w:p>
      <w:pPr>
        <w:jc w:val="both"/>
        <w:spacing w:after="140"/>
      </w:pPr>
      <w:r>
        <w:rPr>
          <w:rFonts w:ascii="Georgia" w:hAnsi="Georgia" w:cs="Georgia"/>
          <w:sz w:val="22"/>
          <w:sz-cs w:val="22"/>
        </w:rPr>
        <w:t xml:space="preserve">Treating time as induced changes what a forecast is permitted to mean. A forecast is no longer a statement that a future event will occur at a particular date. It is a measurement that the present structural configuration is close to a previously witnessed regime boundary, transition, or instability threshold. This converts forecasting from a destiny-claim into a proximity-claim. The relevant questions become: close to what, under what witnesses, and does that proximity persist under refinement?</w:t>
      </w:r>
    </w:p>
    <w:p>
      <w:pPr>
        <w:spacing w:before="240" w:after="100"/>
      </w:pPr>
      <w:r>
        <w:rPr>
          <w:rFonts w:ascii="Georgia" w:hAnsi="Georgia" w:cs="Georgia"/>
          <w:sz w:val="24"/>
          <w:sz-cs w:val="24"/>
          <w:b/>
          <w:color w:val="1F3864"/>
        </w:rPr>
        <w:t xml:space="preserve">4.1 Structural Proximity and Regime Reference</w:t>
      </w:r>
    </w:p>
    <w:p>
      <w:pPr>
        <w:jc w:val="both"/>
        <w:spacing w:after="140"/>
      </w:pPr>
      <w:r>
        <w:rPr>
          <w:rFonts w:ascii="Georgia" w:hAnsi="Georgia" w:cs="Georgia"/>
          <w:sz w:val="22"/>
          <w:sz-cs w:val="22"/>
        </w:rPr>
        <w:t xml:space="preserve">Let R = {r</w:t>
      </w:r>
      <w:r>
        <w:rPr>
          <w:rFonts w:ascii=".SF NS" w:hAnsi=".SF NS" w:cs=".SF NS"/>
          <w:sz w:val="22"/>
          <w:sz-cs w:val="22"/>
        </w:rPr>
        <w:t xml:space="preserve">ₖ</w:t>
      </w:r>
      <w:r>
        <w:rPr>
          <w:rFonts w:ascii="Georgia" w:hAnsi="Georgia" w:cs="Georgia"/>
          <w:sz w:val="22"/>
          <w:sz-cs w:val="22"/>
        </w:rPr>
        <w:t xml:space="preserve">} be a set of witnessed regimes or regime-boundaries — for example, a stable operating mode, a degraded mode, or a known transition neighborhood. A forecasting procedure F is a mapping:</w:t>
      </w:r>
    </w:p>
    <w:p>
      <w:pPr>
        <w:spacing w:after="80"/>
      </w:pPr>
      <w:r>
        <w:rPr>
          <w:rFonts w:ascii="Georgia" w:hAnsi="Georgia" w:cs="Georgia"/>
          <w:sz w:val="22"/>
          <w:sz-cs w:val="22"/>
        </w:rPr>
        <w:t xml:space="preserve"/>
      </w:r>
    </w:p>
    <w:p>
      <w:pPr>
        <w:jc w:val="both"/>
        <w:ind w:left="720"/>
        <w:spacing w:after="120"/>
      </w:pPr>
      <w:r>
        <w:rPr>
          <w:rFonts w:ascii="Georgia" w:hAnsi="Georgia" w:cs="Georgia"/>
          <w:sz w:val="22"/>
          <w:sz-cs w:val="22"/>
          <w:i/>
          <w:color w:val="555555"/>
        </w:rPr>
        <w:t xml:space="preserve">F : (s, W) </w:t>
      </w:r>
      <w:r>
        <w:rPr>
          <w:rFonts w:ascii="Menlo" w:hAnsi="Menlo" w:cs="Menlo"/>
          <w:sz w:val="22"/>
          <w:sz-cs w:val="22"/>
          <w:i/>
          <w:color w:val="555555"/>
        </w:rPr>
        <w:t xml:space="preserve">↦</w:t>
      </w:r>
      <w:r>
        <w:rPr>
          <w:rFonts w:ascii="Georgia" w:hAnsi="Georgia" w:cs="Georgia"/>
          <w:sz w:val="22"/>
          <w:sz-cs w:val="22"/>
          <w:i/>
          <w:color w:val="555555"/>
        </w:rPr>
        <w:t xml:space="preserve"> (r</w:t>
      </w:r>
      <w:r>
        <w:rPr>
          <w:rFonts w:ascii=".SF NS" w:hAnsi=".SF NS" w:cs=".SF NS"/>
          <w:sz w:val="22"/>
          <w:sz-cs w:val="22"/>
          <w:color w:val="555555"/>
        </w:rPr>
        <w:t xml:space="preserve">ₖ</w:t>
      </w:r>
      <w:r>
        <w:rPr>
          <w:rFonts w:ascii="Georgia" w:hAnsi="Georgia" w:cs="Georgia"/>
          <w:sz w:val="22"/>
          <w:sz-cs w:val="22"/>
          <w:i/>
          <w:color w:val="555555"/>
        </w:rPr>
        <w:t xml:space="preserve">, d)</w:t>
      </w:r>
    </w:p>
    <w:p>
      <w:pPr>
        <w:spacing w:after="80"/>
      </w:pPr>
      <w:r>
        <w:rPr>
          <w:rFonts w:ascii="Georgia" w:hAnsi="Georgia" w:cs="Georgia"/>
          <w:sz w:val="22"/>
          <w:sz-cs w:val="22"/>
          <w:i/>
          <w:color w:val="555555"/>
        </w:rPr>
        <w:t xml:space="preserve"/>
      </w:r>
    </w:p>
    <w:p>
      <w:pPr>
        <w:jc w:val="both"/>
        <w:spacing w:after="140"/>
      </w:pPr>
      <w:r>
        <w:rPr>
          <w:rFonts w:ascii="Georgia" w:hAnsi="Georgia" w:cs="Georgia"/>
          <w:sz w:val="22"/>
          <w:sz-cs w:val="22"/>
        </w:rPr>
        <w:t xml:space="preserve">where s </w:t>
      </w:r>
      <w:r>
        <w:rPr>
          <w:rFonts w:ascii="Apple Symbols" w:hAnsi="Apple Symbols" w:cs="Apple Symbols"/>
          <w:sz w:val="22"/>
          <w:sz-cs w:val="22"/>
        </w:rPr>
        <w:t xml:space="preserve">∈</w:t>
      </w:r>
      <w:r>
        <w:rPr>
          <w:rFonts w:ascii="Georgia" w:hAnsi="Georgia" w:cs="Georgia"/>
          <w:sz w:val="22"/>
          <w:sz-cs w:val="22"/>
        </w:rPr>
        <w:t xml:space="preserve"> S is the current state description, W is the witness set at the current refinement level, r</w:t>
      </w:r>
      <w:r>
        <w:rPr>
          <w:rFonts w:ascii=".SF NS" w:hAnsi=".SF NS" w:cs=".SF NS"/>
          <w:sz w:val="22"/>
          <w:sz-cs w:val="22"/>
        </w:rPr>
        <w:t xml:space="preserve">ₖ</w:t>
      </w:r>
      <w:r>
        <w:rPr>
          <w:rFonts w:ascii="Georgia" w:hAnsi="Georgia" w:cs="Georgia"/>
          <w:sz w:val="22"/>
          <w:sz-cs w:val="22"/>
        </w:rPr>
        <w:t xml:space="preserve"> is the referenced regime or boundary, and d is a structural distance or divergence measure. A forecast is meaningful only to the extent that (i) the regime reference is explicit and (ii) the distance measure is defined over the declared witnesses.</w:t>
      </w:r>
    </w:p>
    <w:p>
      <w:pPr>
        <w:spacing w:before="240" w:after="100"/>
      </w:pPr>
      <w:r>
        <w:rPr>
          <w:rFonts w:ascii="Georgia" w:hAnsi="Georgia" w:cs="Georgia"/>
          <w:sz w:val="24"/>
          <w:sz-cs w:val="24"/>
          <w:b/>
          <w:color w:val="1F3864"/>
        </w:rPr>
        <w:t xml:space="preserve">4.2 Refinement Stability of Forecast Meaning</w:t>
      </w:r>
    </w:p>
    <w:p>
      <w:pPr>
        <w:jc w:val="both"/>
        <w:spacing w:after="140"/>
      </w:pPr>
      <w:r>
        <w:rPr>
          <w:rFonts w:ascii="Georgia" w:hAnsi="Georgia" w:cs="Georgia"/>
          <w:sz w:val="22"/>
          <w:sz-cs w:val="22"/>
        </w:rPr>
        <w:t xml:space="preserve">Under refinement, the witness set expands or becomes higher resolution. A forecast is structurally admissible only if its meaning survives this expansion. If F(s₁, W₁) = (r</w:t>
      </w:r>
      <w:r>
        <w:rPr>
          <w:rFonts w:ascii=".SF NS" w:hAnsi=".SF NS" w:cs=".SF NS"/>
          <w:sz w:val="22"/>
          <w:sz-cs w:val="22"/>
        </w:rPr>
        <w:t xml:space="preserve">ₖ</w:t>
      </w:r>
      <w:r>
        <w:rPr>
          <w:rFonts w:ascii="Georgia" w:hAnsi="Georgia" w:cs="Georgia"/>
          <w:sz w:val="22"/>
          <w:sz-cs w:val="22"/>
        </w:rPr>
        <w:t xml:space="preserve">, d₁) and F(s₂, W₂) = (r</w:t>
      </w:r>
      <w:r>
        <w:rPr>
          <w:rFonts w:ascii=".SF NS" w:hAnsi=".SF NS" w:cs=".SF NS"/>
          <w:sz w:val="22"/>
          <w:sz-cs w:val="22"/>
        </w:rPr>
        <w:t xml:space="preserve">ₘ</w:t>
      </w:r>
      <w:r>
        <w:rPr>
          <w:rFonts w:ascii="Georgia" w:hAnsi="Georgia" w:cs="Georgia"/>
          <w:sz w:val="22"/>
          <w:sz-cs w:val="22"/>
        </w:rPr>
        <w:t xml:space="preserve">, d₂), then a regime shift k </w:t>
      </w:r>
      <w:r>
        <w:rPr>
          <w:rFonts w:ascii="Times New Roman" w:hAnsi="Times New Roman" w:cs="Times New Roman"/>
          <w:sz w:val="22"/>
          <w:sz-cs w:val="22"/>
        </w:rPr>
        <w:t xml:space="preserve">→</w:t>
      </w:r>
      <w:r>
        <w:rPr>
          <w:rFonts w:ascii="Georgia" w:hAnsi="Georgia" w:cs="Georgia"/>
          <w:sz w:val="22"/>
          <w:sz-cs w:val="22"/>
        </w:rPr>
        <w:t xml:space="preserve"> m requires an auditable explanation grounded in new witnesses rather than narrative preference. This criterion separates legitimate updates from retroactive story repair.</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5. The Forecast Admissibility Gate</w:t>
      </w:r>
    </w:p>
    <w:p>
      <w:pPr>
        <w:jc w:val="both"/>
        <w:spacing w:after="140"/>
      </w:pPr>
      <w:r>
        <w:rPr>
          <w:rFonts w:ascii="Georgia" w:hAnsi="Georgia" w:cs="Georgia"/>
          <w:sz w:val="22"/>
          <w:sz-cs w:val="22"/>
        </w:rPr>
        <w:t xml:space="preserve">Forecast admissibility can be operationalized as a three-outcome gate applied to a forecast claim C with declared witnesses W and declared regime reference r</w:t>
      </w:r>
      <w:r>
        <w:rPr>
          <w:rFonts w:ascii=".SF NS" w:hAnsi=".SF NS" w:cs=".SF NS"/>
          <w:sz w:val="22"/>
          <w:sz-cs w:val="22"/>
        </w:rPr>
        <w:t xml:space="preserve">ₖ</w:t>
      </w:r>
      <w:r>
        <w:rPr>
          <w:rFonts w:ascii="Georgia" w:hAnsi="Georgia" w:cs="Georgia"/>
          <w:sz w:val="22"/>
          <w:sz-cs w:val="22"/>
        </w:rPr>
        <w:t xml:space="preserve">. The gate takes five inputs: (1) a structural state description s </w:t>
      </w:r>
      <w:r>
        <w:rPr>
          <w:rFonts w:ascii="Apple Symbols" w:hAnsi="Apple Symbols" w:cs="Apple Symbols"/>
          <w:sz w:val="22"/>
          <w:sz-cs w:val="22"/>
        </w:rPr>
        <w:t xml:space="preserve">∈</w:t>
      </w:r>
      <w:r>
        <w:rPr>
          <w:rFonts w:ascii="Georgia" w:hAnsi="Georgia" w:cs="Georgia"/>
          <w:sz w:val="22"/>
          <w:sz-cs w:val="22"/>
        </w:rPr>
        <w:t xml:space="preserve"> S, (2) a witness set W, (3) a regime or boundary reference r</w:t>
      </w:r>
      <w:r>
        <w:rPr>
          <w:rFonts w:ascii=".SF NS" w:hAnsi=".SF NS" w:cs=".SF NS"/>
          <w:sz w:val="22"/>
          <w:sz-cs w:val="22"/>
        </w:rPr>
        <w:t xml:space="preserve">ₖ</w:t>
      </w:r>
      <w:r>
        <w:rPr>
          <w:rFonts w:ascii="Georgia" w:hAnsi="Georgia" w:cs="Georgia"/>
          <w:sz w:val="22"/>
          <w:sz-cs w:val="22"/>
        </w:rPr>
        <w:t xml:space="preserve"> </w:t>
      </w:r>
      <w:r>
        <w:rPr>
          <w:rFonts w:ascii="Apple Symbols" w:hAnsi="Apple Symbols" w:cs="Apple Symbols"/>
          <w:sz w:val="22"/>
          <w:sz-cs w:val="22"/>
        </w:rPr>
        <w:t xml:space="preserve">∈</w:t>
      </w:r>
      <w:r>
        <w:rPr>
          <w:rFonts w:ascii="Georgia" w:hAnsi="Georgia" w:cs="Georgia"/>
          <w:sz w:val="22"/>
          <w:sz-cs w:val="22"/>
        </w:rPr>
        <w:t xml:space="preserve"> R, (4) a structural distance or divergence measure d defined over W, and (5) a refinement relation </w:t>
      </w:r>
      <w:r>
        <w:rPr>
          <w:rFonts w:ascii="Apple Symbols" w:hAnsi="Apple Symbols" w:cs="Apple Symbols"/>
          <w:sz w:val="22"/>
          <w:sz-cs w:val="22"/>
        </w:rPr>
        <w:t xml:space="preserve">≼</w:t>
      </w:r>
      <w:r>
        <w:rPr>
          <w:rFonts w:ascii="Georgia" w:hAnsi="Georgia" w:cs="Georgia"/>
          <w:sz w:val="22"/>
          <w:sz-cs w:val="22"/>
        </w:rPr>
        <w:t xml:space="preserve"> over states and witnesses.</w:t>
      </w:r>
    </w:p>
    <w:p>
      <w:pPr>
        <w:spacing w:after="80"/>
      </w:pPr>
      <w:r>
        <w:rPr>
          <w:rFonts w:ascii="Georgia" w:hAnsi="Georgia" w:cs="Georgia"/>
          <w:sz w:val="22"/>
          <w:sz-cs w:val="22"/>
        </w:rPr>
        <w:t xml:space="preserve"/>
      </w:r>
    </w:p>
    <w:p>
      <w:pPr/>
      <w:r>
        <w:rPr>
          <w:rFonts w:ascii="Georgia" w:hAnsi="Georgia" w:cs="Georgia"/>
          <w:sz w:val="20"/>
          <w:sz-cs w:val="20"/>
          <w:b/>
          <w:color w:val="FFFFFF"/>
        </w:rPr>
        <w:t xml:space="preserve">Outcome</w:t>
      </w:r>
    </w:p>
    <w:p>
      <w:pPr/>
      <w:r>
        <w:rPr>
          <w:rFonts w:ascii="Georgia" w:hAnsi="Georgia" w:cs="Georgia"/>
          <w:sz w:val="20"/>
          <w:sz-cs w:val="20"/>
          <w:b/>
          <w:color w:val="FFFFFF"/>
        </w:rPr>
        <w:t xml:space="preserve">Condition</w:t>
      </w:r>
    </w:p>
    <w:p>
      <w:pPr/>
      <w:r>
        <w:rPr>
          <w:rFonts w:ascii="Georgia" w:hAnsi="Georgia" w:cs="Georgia"/>
          <w:sz w:val="20"/>
          <w:sz-cs w:val="20"/>
          <w:b/>
          <w:color w:val="000000"/>
        </w:rPr>
        <w:t xml:space="preserve">PASS</w:t>
      </w:r>
    </w:p>
    <w:p>
      <w:pPr/>
      <w:r>
        <w:rPr>
          <w:rFonts w:ascii="Georgia" w:hAnsi="Georgia" w:cs="Georgia"/>
          <w:sz w:val="20"/>
          <w:sz-cs w:val="20"/>
          <w:b/>
          <w:color w:val="000000"/>
        </w:rPr>
        <w:t xml:space="preserve">Regime reference is explicit; distance measure is defined over the declared witness set; claim persists under refinement.</w:t>
      </w:r>
    </w:p>
    <w:p>
      <w:pPr/>
      <w:r>
        <w:rPr>
          <w:rFonts w:ascii="Georgia" w:hAnsi="Georgia" w:cs="Georgia"/>
          <w:sz w:val="20"/>
          <w:sz-cs w:val="20"/>
          <w:b/>
          <w:color w:val="000000"/>
        </w:rPr>
        <w:t xml:space="preserve">INCOMPLETE</w:t>
      </w:r>
    </w:p>
    <w:p>
      <w:pPr/>
      <w:r>
        <w:rPr>
          <w:rFonts w:ascii="Georgia" w:hAnsi="Georgia" w:cs="Georgia"/>
          <w:sz w:val="20"/>
          <w:sz-cs w:val="20"/>
          <w:b/>
          <w:color w:val="000000"/>
        </w:rPr>
        <w:t xml:space="preserve">Required witnesses are absent; regime reference is unspecified; distance measure is undefined over the declared witness set.</w:t>
      </w:r>
    </w:p>
    <w:p>
      <w:pPr/>
      <w:r>
        <w:rPr>
          <w:rFonts w:ascii="Georgia" w:hAnsi="Georgia" w:cs="Georgia"/>
          <w:sz w:val="20"/>
          <w:sz-cs w:val="20"/>
          <w:b/>
          <w:color w:val="000000"/>
        </w:rPr>
        <w:t xml:space="preserve">HALT</w:t>
      </w:r>
    </w:p>
    <w:p>
      <w:pPr/>
      <w:r>
        <w:rPr>
          <w:rFonts w:ascii="Georgia" w:hAnsi="Georgia" w:cs="Georgia"/>
          <w:sz w:val="20"/>
          <w:sz-cs w:val="20"/>
          <w:b/>
          <w:color w:val="000000"/>
        </w:rPr>
        <w:t xml:space="preserve">Forecast is being used as a substitute for evidence; or refinement destabilizes the claim without an auditable introduction of materially new witnesses.</w:t>
      </w:r>
    </w:p>
    <w:p>
      <w:pPr>
        <w:spacing w:after="80"/>
      </w:pPr>
      <w:r>
        <w:rPr>
          <w:rFonts w:ascii="Georgia" w:hAnsi="Georgia" w:cs="Georgia"/>
          <w:sz w:val="20"/>
          <w:sz-cs w:val="20"/>
          <w:b/>
          <w:color w:val="000000"/>
        </w:rPr>
        <w:t xml:space="preserve"/>
      </w:r>
    </w:p>
    <w:p>
      <w:pPr>
        <w:jc w:val="both"/>
        <w:spacing w:after="140"/>
      </w:pPr>
      <w:r>
        <w:rPr>
          <w:rFonts w:ascii="Georgia" w:hAnsi="Georgia" w:cs="Georgia"/>
          <w:sz w:val="22"/>
          <w:sz-cs w:val="22"/>
        </w:rPr>
        <w:t xml:space="preserve">The gate enforces the central distinction of this paper: forecasting is admissible only as a structural measurement of proximity to witnessed regimes, not as a causal declaration licensed by time.</w:t>
      </w:r>
    </w:p>
    <w:p>
      <w:pPr>
        <w:jc w:val="both"/>
        <w:spacing w:after="140"/>
      </w:pPr>
      <w:r>
        <w:rPr>
          <w:rFonts w:ascii="Georgia" w:hAnsi="Georgia" w:cs="Georgia"/>
          <w:sz w:val="22"/>
          <w:sz-cs w:val="22"/>
        </w:rPr>
        <w:t xml:space="preserve">Institutions implementing this gate should require that every forecast submitted for governance purposes include explicit documentation of the regime reference, the witness set, and the distance measure. Claims that arrive without these components should be automatically classified as INCOMPLETE and excluded from decision authority until the documentation is supplied. Claims that change regime reference or reverse directional interpretation at the gate, without auditable new witnesses, should be classified as HALT and withheld from decision authority entirely.</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6. Institutional Consequences of Temporal Authority</w:t>
      </w:r>
    </w:p>
    <w:p>
      <w:pPr>
        <w:spacing w:before="240" w:after="100"/>
      </w:pPr>
      <w:r>
        <w:rPr>
          <w:rFonts w:ascii="Georgia" w:hAnsi="Georgia" w:cs="Georgia"/>
          <w:sz w:val="24"/>
          <w:sz-cs w:val="24"/>
          <w:b/>
          <w:color w:val="1F3864"/>
        </w:rPr>
        <w:t xml:space="preserve">6.1 Deadlines as Narrative Authority</w:t>
      </w:r>
    </w:p>
    <w:p>
      <w:pPr>
        <w:jc w:val="both"/>
        <w:spacing w:after="140"/>
      </w:pPr>
      <w:r>
        <w:rPr>
          <w:rFonts w:ascii="Georgia" w:hAnsi="Georgia" w:cs="Georgia"/>
          <w:sz w:val="22"/>
          <w:sz-cs w:val="22"/>
        </w:rPr>
        <w:t xml:space="preserve">Institutions frequently use deadlines as substitutes for evidence. The approach of a date triggers actions that are not structurally justified. Under the induced-coordinate view, a deadline is not a warrant. It is at best a coordinate in a narrative plan and must not exceed the authority of structural evidence. This is not an argument against planning or scheduling; it is an argument against allowing a schedule to override a negative structural assessment.</w:t>
      </w:r>
    </w:p>
    <w:p>
      <w:pPr>
        <w:spacing w:before="240" w:after="100"/>
      </w:pPr>
      <w:r>
        <w:rPr>
          <w:rFonts w:ascii="Georgia" w:hAnsi="Georgia" w:cs="Georgia"/>
          <w:sz w:val="24"/>
          <w:sz-cs w:val="24"/>
          <w:b/>
          <w:color w:val="1F3864"/>
        </w:rPr>
        <w:t xml:space="preserve">6.2 Auditability and Harm Reduction</w:t>
      </w:r>
    </w:p>
    <w:p>
      <w:pPr>
        <w:jc w:val="both"/>
        <w:spacing w:after="140"/>
      </w:pPr>
      <w:r>
        <w:rPr>
          <w:rFonts w:ascii="Georgia" w:hAnsi="Georgia" w:cs="Georgia"/>
          <w:sz w:val="22"/>
          <w:sz-cs w:val="22"/>
        </w:rPr>
        <w:t xml:space="preserve">When forecasts are treated as causal declarations, institutions justify harm by appealing to urgency and inevitability. Reframing forecasts as structural measurements increases auditability: reviewers can ask what structural regime is referenced, what witnesses support proximity, and whether the claim persists under refinement. This audit trail was absent in documented cases of institutional failure. The 2008 financial crisis provides a clear example: models assigned low structural distance to stable regimes even as the witness set — default correlation data, synthetic exposure concentrations — was materially inconsistent with the regime reference. The temporal framing (“houses have never fallen in value nationally”) substituted for a structural assessment of proximity to a known instability threshold.</w:t>
      </w:r>
    </w:p>
    <w:p>
      <w:pPr>
        <w:spacing w:before="240" w:after="100"/>
      </w:pPr>
      <w:r>
        <w:rPr>
          <w:rFonts w:ascii="Georgia" w:hAnsi="Georgia" w:cs="Georgia"/>
          <w:sz w:val="24"/>
          <w:sz-cs w:val="24"/>
          <w:b/>
          <w:color w:val="1F3864"/>
        </w:rPr>
        <w:t xml:space="preserve">6.3 Separating Legitimate Updates from Retroactive Repair</w:t>
      </w:r>
    </w:p>
    <w:p>
      <w:pPr>
        <w:jc w:val="both"/>
        <w:spacing w:after="140"/>
      </w:pPr>
      <w:r>
        <w:rPr>
          <w:rFonts w:ascii="Georgia" w:hAnsi="Georgia" w:cs="Georgia"/>
          <w:sz w:val="22"/>
          <w:sz-cs w:val="22"/>
        </w:rPr>
        <w:t xml:space="preserve">A persistent challenge for any admissibility framework is the risk that sophisticated actors will perform the surface motions of the gate — citing witnesses, naming regimes — while engaging in retroactive narrative repair. The framework addresses this through the requirement of a recorded causal pathway from new witnesses to claim revision. This requirement is not satisfied by reinterpreting existing evidence in light of an outcome. It requires that the new witnesses were unavailable at the time of the original claim and that their introduction is recorded in the audit trail with a date stamp and a description of how they change the structural assessment.</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7. Applications</w:t>
      </w:r>
    </w:p>
    <w:p>
      <w:pPr>
        <w:spacing w:before="240" w:after="100"/>
      </w:pPr>
      <w:r>
        <w:rPr>
          <w:rFonts w:ascii="Georgia" w:hAnsi="Georgia" w:cs="Georgia"/>
          <w:sz w:val="24"/>
          <w:sz-cs w:val="24"/>
          <w:b/>
          <w:color w:val="1F3864"/>
        </w:rPr>
        <w:t xml:space="preserve">7.1 Finance</w:t>
      </w:r>
    </w:p>
    <w:p>
      <w:pPr>
        <w:jc w:val="both"/>
        <w:spacing w:after="140"/>
      </w:pPr>
      <w:r>
        <w:rPr>
          <w:rFonts w:ascii="Georgia" w:hAnsi="Georgia" w:cs="Georgia"/>
          <w:sz w:val="22"/>
          <w:sz-cs w:val="22"/>
        </w:rPr>
        <w:t xml:space="preserve">Financial instability can be framed as structural proximity to previously observed regime transitions rather than as predicted crash dates. The relevant witness set includes default correlation estimates, concentration measures, and liquidity indicators. The regime reference is the neighborhood of known transition boundaries identified in historical crises. A Forecast Admissibility Gate applied to financial risk assessments would require that proximity claims specify both the regime reference and the witness set used to compute distance. Claims that invoke urgency without specifying regime proximity — “markets are overvalued” without a structural distance measure — would be classified as INCOMPLETE.</w:t>
      </w:r>
    </w:p>
    <w:p>
      <w:pPr>
        <w:spacing w:before="240" w:after="100"/>
      </w:pPr>
      <w:r>
        <w:rPr>
          <w:rFonts w:ascii="Georgia" w:hAnsi="Georgia" w:cs="Georgia"/>
          <w:sz w:val="24"/>
          <w:sz-cs w:val="24"/>
          <w:b/>
          <w:color w:val="1F3864"/>
        </w:rPr>
        <w:t xml:space="preserve">7.2 Infrastructure Engineering</w:t>
      </w:r>
    </w:p>
    <w:p>
      <w:pPr>
        <w:jc w:val="both"/>
        <w:spacing w:after="140"/>
      </w:pPr>
      <w:r>
        <w:rPr>
          <w:rFonts w:ascii="Georgia" w:hAnsi="Georgia" w:cs="Georgia"/>
          <w:sz w:val="22"/>
          <w:sz-cs w:val="22"/>
        </w:rPr>
        <w:t xml:space="preserve">Failure analysis can measure structural proximity to known degradation regimes instead of relying solely on mean-time-to-failure projections. A bridge inspection program, for example, generates witness data on corrosion depth, load cycle counts, and structural deformation. Under this framework, the forecast is not “the bridge will fail in ten years” but “the current structural configuration is within distance d of the degradation regime witnessed in the prior failure class.” This formulation is both more auditable and more actionable: it identifies which structural variables are driving proximity and what intervention would increase distance from the failure regime.</w:t>
      </w:r>
    </w:p>
    <w:p>
      <w:pPr>
        <w:spacing w:before="240" w:after="100"/>
      </w:pPr>
      <w:r>
        <w:rPr>
          <w:rFonts w:ascii="Georgia" w:hAnsi="Georgia" w:cs="Georgia"/>
          <w:sz w:val="24"/>
          <w:sz-cs w:val="24"/>
          <w:b/>
          <w:color w:val="1F3864"/>
        </w:rPr>
        <w:t xml:space="preserve">7.3 Healthcare and Clinical Risk</w:t>
      </w:r>
    </w:p>
    <w:p>
      <w:pPr>
        <w:jc w:val="both"/>
        <w:spacing w:after="140"/>
      </w:pPr>
      <w:r>
        <w:rPr>
          <w:rFonts w:ascii="Georgia" w:hAnsi="Georgia" w:cs="Georgia"/>
          <w:sz w:val="22"/>
          <w:sz-cs w:val="22"/>
        </w:rPr>
        <w:t xml:space="preserve">Clinical risk assessment already moves in this direction through the development of structural risk scores — APACHE, SOFA, and similar instruments that aggregate physiological witnesses into a proximity estimate relative to a known adverse outcome regime. The framework developed here formalizes what those instruments do implicitly: they treat the forecast as a structural measurement rather than a temporal prediction. Extension to AI-assisted clinical decision support requires that the witness set be explicit and that the regime reference be clinically validated rather than derived from model internals that are not interpretable by reviewing clinicians.</w:t>
      </w:r>
    </w:p>
    <w:p>
      <w:pPr>
        <w:spacing w:before="240" w:after="100"/>
      </w:pPr>
      <w:r>
        <w:rPr>
          <w:rFonts w:ascii="Georgia" w:hAnsi="Georgia" w:cs="Georgia"/>
          <w:sz w:val="24"/>
          <w:sz-cs w:val="24"/>
          <w:b/>
          <w:color w:val="1F3864"/>
        </w:rPr>
        <w:t xml:space="preserve">7.4 Artificial Intelligence Governance</w:t>
      </w:r>
    </w:p>
    <w:p>
      <w:pPr>
        <w:jc w:val="both"/>
        <w:spacing w:after="140"/>
      </w:pPr>
      <w:r>
        <w:rPr>
          <w:rFonts w:ascii="Georgia" w:hAnsi="Georgia" w:cs="Georgia"/>
          <w:sz w:val="22"/>
          <w:sz-cs w:val="22"/>
        </w:rPr>
        <w:t xml:space="preserve">Continuation decisions in automated systems are frequently tied to deployment schedules rather than structural stability conditions. A model deployed against a one-year roadmap may continue operating even when its structural distance from known failure regimes — distribution shift, performance degradation on held-out subpopulations — has increased materially. The Forecast Admissibility Gate operationalizes a different standard: continuation is permitted when the model’s witness set supports structural proximity to a known stable operating regime, not when the calendar permits it.</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8. Implementation Recommendation</w:t>
      </w:r>
    </w:p>
    <w:p>
      <w:pPr>
        <w:jc w:val="both"/>
        <w:spacing w:after="140"/>
      </w:pPr>
      <w:r>
        <w:rPr>
          <w:rFonts w:ascii="Georgia" w:hAnsi="Georgia" w:cs="Georgia"/>
          <w:sz w:val="22"/>
          <w:sz-cs w:val="22"/>
        </w:rPr>
        <w:t xml:space="preserve">Institutions should implement the Forecast Admissibility Gate as a standard review step for any forecast used to justify a governance decision. The implementation requires:</w:t>
      </w:r>
    </w:p>
    <w:p>
      <w:pPr>
        <w:jc w:val="both"/>
        <w:spacing w:after="140"/>
      </w:pPr>
      <w:r>
        <w:rPr>
          <w:rFonts w:ascii="Georgia" w:hAnsi="Georgia" w:cs="Georgia"/>
          <w:sz w:val="22"/>
          <w:sz-cs w:val="22"/>
        </w:rPr>
        <w:t xml:space="preserve">▪  A maintained registry of witnessed regimes and their structural descriptions, updated only through audited witness additions.</w:t>
      </w:r>
    </w:p>
    <w:p>
      <w:pPr>
        <w:jc w:val="both"/>
        <w:spacing w:after="140"/>
      </w:pPr>
      <w:r>
        <w:rPr>
          <w:rFonts w:ascii="Georgia" w:hAnsi="Georgia" w:cs="Georgia"/>
          <w:sz w:val="22"/>
          <w:sz-cs w:val="22"/>
        </w:rPr>
        <w:t xml:space="preserve">▪  Standardized documentation requirements for forecasts submitted to governance bodies, including explicit regime reference, witness set, and distance measure.</w:t>
      </w:r>
    </w:p>
    <w:p>
      <w:pPr>
        <w:jc w:val="both"/>
        <w:spacing w:after="140"/>
      </w:pPr>
      <w:r>
        <w:rPr>
          <w:rFonts w:ascii="Georgia" w:hAnsi="Georgia" w:cs="Georgia"/>
          <w:sz w:val="22"/>
          <w:sz-cs w:val="22"/>
        </w:rPr>
        <w:t xml:space="preserve">▪  A classification protocol that routes forecasts to PASS, INCOMPLETE, or HALT based on the criteria in Section 5, with INCOMPLETE and HALT outcomes recorded in the institutional audit trail.</w:t>
      </w:r>
    </w:p>
    <w:p>
      <w:pPr>
        <w:jc w:val="both"/>
        <w:spacing w:after="140"/>
      </w:pPr>
      <w:r>
        <w:rPr>
          <w:rFonts w:ascii="Georgia" w:hAnsi="Georgia" w:cs="Georgia"/>
          <w:sz w:val="22"/>
          <w:sz-cs w:val="22"/>
        </w:rPr>
        <w:t xml:space="preserve">▪  A review procedure for HALT classifications that requires an independent assessment of whether new witnesses are materially available and whether a regime reference change is structurally justified.</w:t>
      </w:r>
    </w:p>
    <w:p>
      <w:pPr>
        <w:jc w:val="both"/>
        <w:spacing w:after="140"/>
      </w:pPr>
      <w:r>
        <w:rPr>
          <w:rFonts w:ascii="Georgia" w:hAnsi="Georgia" w:cs="Georgia"/>
          <w:sz w:val="22"/>
          <w:sz-cs w:val="22"/>
        </w:rPr>
        <w:t xml:space="preserve">Forecasts that fail admissibility requirements should not be used to justify institutional decisions until structural evidence is sufficient to achieve PASS. This does not preclude action under uncertainty; it requires that the structural basis for action be explicit and auditable rather than derived from temporal urgency.</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9. Discussion</w:t>
      </w:r>
    </w:p>
    <w:p>
      <w:pPr>
        <w:jc w:val="both"/>
        <w:spacing w:after="140"/>
      </w:pPr>
      <w:r>
        <w:rPr>
          <w:rFonts w:ascii="Georgia" w:hAnsi="Georgia" w:cs="Georgia"/>
          <w:sz w:val="22"/>
          <w:sz-cs w:val="22"/>
        </w:rPr>
        <w:t xml:space="preserve">Treating time as an induced coordinate does not eliminate forecasting. It redefines the role of temporal measures within governance systems. Forecasts remain useful as descriptive coordinates but lose authority as causal explanations. The practical effect is a shift in what governance bodies are permitted to ask: not “when will this happen” but “how close are we to a witnessed instability, and how do we know.”</w:t>
      </w:r>
    </w:p>
    <w:p>
      <w:pPr>
        <w:jc w:val="both"/>
        <w:spacing w:after="140"/>
      </w:pPr>
      <w:r>
        <w:rPr>
          <w:rFonts w:ascii="Georgia" w:hAnsi="Georgia" w:cs="Georgia"/>
          <w:sz w:val="22"/>
          <w:sz-cs w:val="22"/>
        </w:rPr>
        <w:t xml:space="preserve">Several objections deserve acknowledgment. First, critics may argue that the framework is too demanding: many important decisions must be made with incomplete structural evidence. The response is that the framework does not require complete evidence; it requires that the degree of incompleteness be visible. An INCOMPLETE classification does not preclude a decision; it records that the decision was made without full structural support. This is strictly better, from a governance standpoint, than a PASS classification granted to a claim that does not deserve it.</w:t>
      </w:r>
    </w:p>
    <w:p>
      <w:pPr>
        <w:jc w:val="both"/>
        <w:spacing w:after="140"/>
      </w:pPr>
      <w:r>
        <w:rPr>
          <w:rFonts w:ascii="Georgia" w:hAnsi="Georgia" w:cs="Georgia"/>
          <w:sz w:val="22"/>
          <w:sz-cs w:val="22"/>
        </w:rPr>
        <w:t xml:space="preserve">Second, critics may argue that the distinction between new witnesses and narrative repair is itself contested. This is correct: the boundary is not always bright. The framework addresses this not by eliminating the contest but by requiring that it occur explicitly, in an audit trail, rather than implicitly, in a narrative. The requirement of an auditable pathway shifts the burden of proof to those claiming that a regime revision is structurally warranted.</w:t>
      </w:r>
    </w:p>
    <w:p>
      <w:pPr>
        <w:jc w:val="both"/>
        <w:spacing w:after="140"/>
      </w:pPr>
      <w:r>
        <w:rPr>
          <w:rFonts w:ascii="Georgia" w:hAnsi="Georgia" w:cs="Georgia"/>
          <w:sz w:val="22"/>
          <w:sz-cs w:val="22"/>
        </w:rPr>
        <w:t xml:space="preserve">Third, critics grounded in the physics and philosophy literature may note that the induced-coordinate view, while well-established in relational mechanics, remains contested as a complete account of time. The response is that the framework does not require the metaphysical claim to be settled. Even if time is, in some deep sense, primary, the epistemological claim stands: treating temporal authority as a substitute for structural evidence is a governance error, and the Forecast Admissibility Gate corrects it.</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10. Conclusion</w:t>
      </w:r>
    </w:p>
    <w:p>
      <w:pPr>
        <w:jc w:val="both"/>
        <w:spacing w:after="140"/>
      </w:pPr>
      <w:r>
        <w:rPr>
          <w:rFonts w:ascii="Georgia" w:hAnsi="Georgia" w:cs="Georgia"/>
          <w:sz w:val="22"/>
          <w:sz-cs w:val="22"/>
        </w:rPr>
        <w:t xml:space="preserve">Institutional forecasting frequently fails because time is treated as a causal authority rather than a coordinate derived from structural relationships. This paper has developed a framework in which forecasting is redefined as a measurement of structural distance from witnessed regimes, admissible only when the claim persists under refinement and when the regime reference and witness set are explicit.</w:t>
      </w:r>
    </w:p>
    <w:p>
      <w:pPr>
        <w:jc w:val="both"/>
        <w:spacing w:after="140"/>
      </w:pPr>
      <w:r>
        <w:rPr>
          <w:rFonts w:ascii="Georgia" w:hAnsi="Georgia" w:cs="Georgia"/>
          <w:sz w:val="22"/>
          <w:sz-cs w:val="22"/>
        </w:rPr>
        <w:t xml:space="preserve">The Forecast Admissibility Gate operationalizes this framework as a three-outcome classification: PASS, INCOMPLETE, or HALT. Applied across finance, infrastructure, healthcare, and AI governance, the gate improves auditability, reduces harm caused by premature certainty, and separates legitimate structural updates from retroactive narrative repair.</w:t>
      </w:r>
    </w:p>
    <w:p>
      <w:pPr>
        <w:jc w:val="center"/>
        <w:spacing w:before="280" w:after="160"/>
      </w:pPr>
      <w:r>
        <w:rPr>
          <w:rFonts w:ascii="Georgia" w:hAnsi="Georgia" w:cs="Georgia"/>
          <w:sz w:val="24"/>
          <w:sz-cs w:val="24"/>
          <w:b/>
          <w:color w:val="1F3864"/>
        </w:rPr>
        <w:t xml:space="preserve">Time does not authorize action.</w:t>
      </w:r>
      <w:r>
        <w:rPr>
          <w:rFonts w:ascii="Georgia" w:hAnsi="Georgia" w:cs="Georgia"/>
          <w:sz w:val="24"/>
          <w:sz-cs w:val="24"/>
          <w:i/>
          <w:color w:val="1F3864"/>
        </w:rPr>
        <w:t xml:space="preserve">  Structure does.</w:t>
      </w:r>
    </w:p>
    <w:p>
      <w:pPr>
        <w:spacing w:before="100" w:after="100"/>
      </w:pPr>
      <w:r>
        <w:rPr>
          <w:rFonts w:ascii="Georgia" w:hAnsi="Georgia" w:cs="Georgia"/>
          <w:sz w:val="24"/>
          <w:sz-cs w:val="24"/>
          <w:i/>
          <w:color w:val="1F3864"/>
        </w:rPr>
        <w:t xml:space="preserve"/>
      </w:r>
    </w:p>
    <w:p>
      <w:pPr>
        <w:spacing w:after="80"/>
      </w:pPr>
      <w:r>
        <w:rPr>
          <w:rFonts w:ascii="Georgia" w:hAnsi="Georgia" w:cs="Georgia"/>
          <w:sz w:val="24"/>
          <w:sz-cs w:val="24"/>
          <w:i/>
          <w:color w:val="1F3864"/>
        </w:rPr>
        <w:t xml:space="preserve"/>
      </w:r>
    </w:p>
    <w:p>
      <w:pPr>
        <w:spacing w:before="360" w:after="160"/>
      </w:pPr>
      <w:r>
        <w:rPr>
          <w:rFonts w:ascii="Georgia" w:hAnsi="Georgia" w:cs="Georgia"/>
          <w:sz w:val="28"/>
          <w:sz-cs w:val="28"/>
          <w:b/>
          <w:color w:val="1F3864"/>
        </w:rPr>
        <w:t xml:space="preserve">Works Cited</w:t>
      </w:r>
    </w:p>
    <w:p>
      <w:pPr>
        <w:jc w:val="both"/>
        <w:spacing w:after="140"/>
      </w:pPr>
      <w:r>
        <w:rPr>
          <w:rFonts w:ascii="Georgia" w:hAnsi="Georgia" w:cs="Georgia"/>
          <w:sz w:val="22"/>
          <w:sz-cs w:val="22"/>
        </w:rPr>
        <w:t xml:space="preserve">Ashby, W. Ross. An Introduction to Cybernetics. London: Chapman &amp; Hall, 1956.</w:t>
      </w:r>
    </w:p>
    <w:p>
      <w:pPr>
        <w:jc w:val="both"/>
        <w:spacing w:after="140"/>
      </w:pPr>
      <w:r>
        <w:rPr>
          <w:rFonts w:ascii="Georgia" w:hAnsi="Georgia" w:cs="Georgia"/>
          <w:sz w:val="22"/>
          <w:sz-cs w:val="22"/>
        </w:rPr>
        <w:t xml:space="preserve">Barbour, Julian. The End of Time: The Next Revolution in Physics. Oxford: Oxford University Press, 1999.</w:t>
      </w:r>
    </w:p>
    <w:p>
      <w:pPr>
        <w:jc w:val="both"/>
        <w:spacing w:after="140"/>
      </w:pPr>
      <w:r>
        <w:rPr>
          <w:rFonts w:ascii="Georgia" w:hAnsi="Georgia" w:cs="Georgia"/>
          <w:sz w:val="22"/>
          <w:sz-cs w:val="22"/>
        </w:rPr>
        <w:t xml:space="preserve">Knight, Frank H. Risk, Uncertainty, and Profit. Boston: Houghton Mifflin, 1921.</w:t>
      </w:r>
    </w:p>
    <w:p>
      <w:pPr>
        <w:jc w:val="both"/>
        <w:spacing w:after="140"/>
      </w:pPr>
      <w:r>
        <w:rPr>
          <w:rFonts w:ascii="Georgia" w:hAnsi="Georgia" w:cs="Georgia"/>
          <w:sz w:val="22"/>
          <w:sz-cs w:val="22"/>
        </w:rPr>
        <w:t xml:space="preserve">Leveson, Nancy. Engineering a Safer World: Systems Thinking Applied to Safety. Cambridge, MA: MIT Press, 2012.</w:t>
      </w:r>
    </w:p>
    <w:p>
      <w:pPr>
        <w:jc w:val="both"/>
        <w:spacing w:after="140"/>
      </w:pPr>
      <w:r>
        <w:rPr>
          <w:rFonts w:ascii="Georgia" w:hAnsi="Georgia" w:cs="Georgia"/>
          <w:sz w:val="22"/>
          <w:sz-cs w:val="22"/>
        </w:rPr>
        <w:t xml:space="preserve">Taleb, Nassim Nicholas. The Black Swan: The Impact of the Highly Improbable. New York: Random House, 2007.</w:t>
      </w:r>
    </w:p>
    <w:p>
      <w:pPr>
        <w:jc w:val="both"/>
        <w:spacing w:after="140"/>
      </w:pPr>
      <w:r>
        <w:rPr>
          <w:rFonts w:ascii="Georgia" w:hAnsi="Georgia" w:cs="Georgia"/>
          <w:sz w:val="22"/>
          <w:sz-cs w:val="22"/>
        </w:rPr>
        <w:t xml:space="preserve">Tetlock, Philip E., and Dan Gardner. Superforecasting: The Art and Science of Prediction. New York: Crown, 2015.</w:t>
      </w:r>
    </w:p>
    <w:p>
      <w:pPr>
        <w:jc w:val="both"/>
        <w:spacing w:after="140"/>
      </w:pPr>
      <w:r>
        <w:rPr>
          <w:rFonts w:ascii="Georgia" w:hAnsi="Georgia" w:cs="Georgia"/>
          <w:sz w:val="22"/>
          <w:sz-cs w:val="22"/>
        </w:rPr>
        <w:t xml:space="preserve">Wiener, Norbert. Cybernetics: Or Control and Communication in the Animal and the Machine. Cambridge, MA: MIT Press, 1948.</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