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60"/>
      </w:pPr>
      <w:r>
        <w:rPr>
          <w:b/>
          <w:bCs/>
          <w:color w:val="2333D6"/>
          <w:sz w:val="28"/>
          <w:szCs w:val="28"/>
        </w:rPr>
        <w:t xml:space="preserve">lentopay</w:t>
      </w:r>
      <w:r>
        <w:rPr>
          <w:b/>
          <w:bCs/>
          <w:color w:val="0A0E28"/>
          <w:sz w:val="23"/>
          <w:szCs w:val="23"/>
        </w:rPr>
        <w:t xml:space="preserve">  Lentopay Exchange - Executive Summary</w:t>
      </w:r>
      <w:r>
        <w:rPr>
          <w:color w:val="555566"/>
          <w:sz w:val="16"/>
          <w:szCs w:val="16"/>
        </w:rPr>
        <w:t xml:space="preserve">   ·  July 2026 · Confidential · Prepared for Oshodi-Tapa Agboola</w:t>
      </w:r>
    </w:p>
    <w:p>
      <w:pPr>
        <w:spacing w:after="70" w:before="0" w:line="240"/>
      </w:pPr>
      <w:r>
        <w:rPr>
          <w:b/>
          <w:bCs/>
          <w:color w:val="0A0E28"/>
          <w:sz w:val="20"/>
          <w:szCs w:val="20"/>
        </w:rPr>
        <w:t xml:space="preserve">The SEC-licensed, Nigeria-first crypto app combining global-exchange pricing, instant naira rails and everyday utility - trading, bill payments, gift cards and savings in one account.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9ED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16"/>
            </w:pPr>
            <w:r>
              <w:rPr>
                <w:b/>
                <w:bCs/>
                <w:color w:val="0A0E28"/>
                <w:sz w:val="18"/>
                <w:szCs w:val="18"/>
              </w:rPr>
              <w:t xml:space="preserve">THE PROBLEM</w:t>
            </w:r>
          </w:p>
        </w:tc>
        <w:tc>
          <w:tcPr>
            <w:tcW w:type="dxa" w:w="5040"/>
            <w:shd w:fill="E9ED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16"/>
            </w:pPr>
            <w:r>
              <w:rPr>
                <w:b/>
                <w:bCs/>
                <w:color w:val="0A0E28"/>
                <w:sz w:val="18"/>
                <w:szCs w:val="18"/>
              </w:rPr>
              <w:t xml:space="preserve">THE SOLUTION</w:t>
            </w:r>
          </w:p>
        </w:tc>
      </w:tr>
      <w:tr>
        <w:tc>
          <w:tcPr>
            <w:tcW w:type="dxa" w:w="5040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16"/>
            </w:pPr>
            <w:r>
              <w:rPr>
                <w:b/>
                <w:bCs/>
                <w:sz w:val="18"/>
                <w:szCs w:val="18"/>
              </w:rPr>
              <w:t xml:space="preserve">~90% of Nigeria's crypto volume is on unlicensed rails</w:t>
            </w:r>
            <w:r>
              <w:rPr>
                <w:sz w:val="18"/>
                <w:szCs w:val="18"/>
              </w:rPr>
              <w:t xml:space="preserve"> (Binance, Bybit, P2P) - no naira ramp since Mar 2024, no recourse, legal risk.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16"/>
            </w:pPr>
            <w:r>
              <w:rPr>
                <w:b/>
                <w:bCs/>
                <w:sz w:val="18"/>
                <w:szCs w:val="18"/>
              </w:rPr>
              <w:t xml:space="preserve">#1 complaint: naira withdrawals that don't arrive.</w:t>
            </w:r>
            <w:r>
              <w:rPr>
                <w:sz w:val="18"/>
                <w:szCs w:val="18"/>
              </w:rPr>
              <w:t xml:space="preserve"> #1 trust deficit: custody, after FTX, Patricia and the 200k-victim CBEX Ponzi.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16"/>
            </w:pPr>
            <w:r>
              <w:rPr>
                <w:b/>
                <w:bCs/>
                <w:sz w:val="18"/>
                <w:szCs w:val="18"/>
              </w:rPr>
              <w:t xml:space="preserve">No licensed player unifies crypto + bills + gift cards + savings</w:t>
            </w:r>
            <w:r>
              <w:rPr>
                <w:sz w:val="18"/>
                <w:szCs w:val="18"/>
              </w:rPr>
              <w:t xml:space="preserve"> - and Yellow Card exited retail entirely (Jan 2026).</w:t>
            </w:r>
          </w:p>
        </w:tc>
        <w:tc>
          <w:tcPr>
            <w:tcW w:type="dxa" w:w="5040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16"/>
            </w:pPr>
            <w:r>
              <w:rPr>
                <w:b/>
                <w:bCs/>
                <w:sz w:val="18"/>
                <w:szCs w:val="18"/>
              </w:rPr>
              <w:t xml:space="preserve">Licensed core:</w:t>
            </w:r>
            <w:r>
              <w:rPr>
                <w:sz w:val="18"/>
                <w:szCs w:val="18"/>
              </w:rPr>
              <w:t xml:space="preserve"> buy/sell/swap at 0.1%, instant naira ramps - public SLA (“95% of withdrawals &lt; 5 min”) on a live status 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16"/>
            </w:pPr>
            <w:r>
              <w:rPr>
                <w:b/>
                <w:bCs/>
                <w:sz w:val="18"/>
                <w:szCs w:val="18"/>
              </w:rPr>
              <w:t xml:space="preserve">Daily utility loop:</w:t>
            </w:r>
            <w:r>
              <w:rPr>
                <w:sz w:val="18"/>
                <w:szCs w:val="18"/>
              </w:rPr>
              <w:t xml:space="preserve"> airtime, data, electricity, TV paid from crypto with 1-3% cashback funded from VTU margin.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16"/>
            </w:pPr>
            <w:r>
              <w:rPr>
                <w:b/>
                <w:bCs/>
                <w:sz w:val="18"/>
                <w:szCs w:val="18"/>
              </w:rPr>
              <w:t xml:space="preserve">Gift cards</w:t>
            </w:r>
            <w:r>
              <w:rPr>
                <w:sz w:val="18"/>
                <w:szCs w:val="18"/>
              </w:rPr>
              <w:t xml:space="preserve"> ($2B/yr market) in a licensed wallet: transparent rates, hardened KYC, instant settlement.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16"/>
            </w:pPr>
            <w:r>
              <w:rPr>
                <w:b/>
                <w:bCs/>
                <w:sz w:val="18"/>
                <w:szCs w:val="18"/>
              </w:rPr>
              <w:t xml:space="preserve">Trust engineered in:</w:t>
            </w:r>
            <w:r>
              <w:rPr>
                <w:sz w:val="18"/>
                <w:szCs w:val="18"/>
              </w:rPr>
              <w:t xml:space="preserve"> monthly proof-of-reserves from day one, regulated custody, live spread on every quote.</w:t>
            </w:r>
          </w:p>
        </w:tc>
      </w:tr>
    </w:tbl>
    <w:p>
      <w:pPr>
        <w:spacing w:after="30" w:before="70" w:line="220"/>
      </w:pPr>
      <w:r>
        <w:rPr>
          <w:b/>
          <w:bCs/>
          <w:color w:val="2333D6"/>
          <w:sz w:val="18"/>
          <w:szCs w:val="18"/>
        </w:rPr>
        <w:t xml:space="preserve">THE MARKET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9ED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333D6"/>
                <w:sz w:val="25"/>
                <w:szCs w:val="25"/>
              </w:rPr>
              <w:t xml:space="preserve">$92.1B</w:t>
            </w:r>
          </w:p>
        </w:tc>
        <w:tc>
          <w:tcPr>
            <w:tcW w:type="dxa" w:w="3360"/>
            <w:shd w:fill="E9ED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333D6"/>
                <w:sz w:val="25"/>
                <w:szCs w:val="25"/>
              </w:rPr>
              <w:t xml:space="preserve">~22M</w:t>
            </w:r>
          </w:p>
        </w:tc>
        <w:tc>
          <w:tcPr>
            <w:tcW w:type="dxa" w:w="3360"/>
            <w:shd w:fill="E9ED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333D6"/>
                <w:sz w:val="25"/>
                <w:szCs w:val="25"/>
              </w:rPr>
              <w:t xml:space="preserve">~$20B/yr</w:t>
            </w:r>
          </w:p>
        </w:tc>
      </w:tr>
      <w:tr>
        <w:tc>
          <w:tcPr>
            <w:tcW w:type="dxa" w:w="3360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08"/>
              <w:jc w:val="center"/>
            </w:pPr>
            <w:r>
              <w:rPr>
                <w:color w:val="555566"/>
                <w:sz w:val="16"/>
                <w:szCs w:val="16"/>
              </w:rPr>
              <w:t xml:space="preserve">On-chain value into Nigeria, Jul 2024-Jun 2025 (Chainalysis); #2 globally on grassroots adoption.</w:t>
            </w:r>
          </w:p>
        </w:tc>
        <w:tc>
          <w:tcPr>
            <w:tcW w:type="dxa" w:w="3360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08"/>
              <w:jc w:val="center"/>
            </w:pPr>
            <w:r>
              <w:rPr>
                <w:color w:val="555566"/>
                <w:sz w:val="16"/>
                <w:szCs w:val="16"/>
              </w:rPr>
              <w:t xml:space="preserve">Nigerian crypto users (~10% of population); 81.5% aged 18-34; stablecoins ~43% of volume.</w:t>
            </w:r>
          </w:p>
        </w:tc>
        <w:tc>
          <w:tcPr>
            <w:tcW w:type="dxa" w:w="3360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08"/>
              <w:jc w:val="center"/>
            </w:pPr>
            <w:r>
              <w:rPr>
                <w:color w:val="555566"/>
                <w:sz w:val="16"/>
                <w:szCs w:val="16"/>
              </w:rPr>
              <w:t xml:space="preserve">Remittances where stablecoins beat 8%+ legacy fees; naira fell ~41% in 2024 - digital-dollar demand.</w:t>
            </w:r>
          </w:p>
        </w:tc>
      </w:tr>
    </w:tbl>
    <w:p>
      <w:pPr>
        <w:spacing w:after="30" w:before="70" w:line="220"/>
      </w:pPr>
      <w:r>
        <w:rPr>
          <w:b/>
          <w:bCs/>
          <w:color w:val="2333D6"/>
          <w:sz w:val="18"/>
          <w:szCs w:val="18"/>
        </w:rPr>
        <w:t xml:space="preserve">BUSINESS MODEL</w:t>
      </w:r>
    </w:p>
    <w:p>
      <w:pPr>
        <w:spacing w:after="30" w:before="0" w:line="216"/>
      </w:pPr>
      <w:r>
        <w:rPr>
          <w:sz w:val="18"/>
          <w:szCs w:val="18"/>
        </w:rPr>
        <w:t xml:space="preserve">0.1% maker/taker · 0.5-1% swap spread (displayed live) · ₦100/₦200 flat fiat fees · 2-4% gift card margin · 1.5-3% VTU margin (~1% back as cashback) · 2-4pp savings NIM at 6-8% APY. </w:t>
      </w:r>
      <w:r>
        <w:rPr>
          <w:b/>
          <w:bCs/>
          <w:sz w:val="18"/>
          <w:szCs w:val="18"/>
        </w:rPr>
        <w:t xml:space="preserve">Year-1 base case ~$0.4M revenue on 150k registered users; ~$3-7M by Year 3.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E9ED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16"/>
            </w:pPr>
            <w:r>
              <w:rPr>
                <w:b/>
                <w:bCs/>
                <w:color w:val="0A0E28"/>
                <w:sz w:val="18"/>
                <w:szCs w:val="18"/>
              </w:rPr>
              <w:t xml:space="preserve">MOAT &amp; DIFFERENTIATION</w:t>
            </w:r>
          </w:p>
        </w:tc>
        <w:tc>
          <w:tcPr>
            <w:tcW w:type="dxa" w:w="5040"/>
            <w:shd w:fill="E9ED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16"/>
            </w:pPr>
            <w:r>
              <w:rPr>
                <w:b/>
                <w:bCs/>
                <w:color w:val="0A0E28"/>
                <w:sz w:val="18"/>
                <w:szCs w:val="18"/>
              </w:rPr>
              <w:t xml:space="preserve">REGULATORY STATUS &amp; PLAN</w:t>
            </w:r>
          </w:p>
        </w:tc>
      </w:tr>
      <w:tr>
        <w:tc>
          <w:tcPr>
            <w:tcW w:type="dxa" w:w="5040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line="216"/>
            </w:pPr>
            <w:r>
              <w:rPr>
                <w:b/>
                <w:bCs/>
                <w:sz w:val="18"/>
                <w:szCs w:val="18"/>
              </w:rPr>
              <w:t xml:space="preserve">Only licensed bundle</w:t>
            </w:r>
            <w:r>
              <w:rPr>
                <w:sz w:val="18"/>
                <w:szCs w:val="18"/>
              </w:rPr>
              <w:t xml:space="preserve"> of trading + bills + gift cards + savings; the SEC licence (₦2B capital, 9-18 months) blocks fast copies.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16"/>
            </w:pPr>
            <w:r>
              <w:rPr>
                <w:b/>
                <w:bCs/>
                <w:sz w:val="18"/>
                <w:szCs w:val="18"/>
              </w:rPr>
              <w:t xml:space="preserve">Trust assets nobody runs together:</w:t>
            </w:r>
            <w:r>
              <w:rPr>
                <w:sz w:val="18"/>
                <w:szCs w:val="18"/>
              </w:rPr>
              <w:t xml:space="preserve"> off-ramp SLA + status page, monthly PoR, full fee/spread disclosure, 48h frozen-funds guarantee.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16"/>
            </w:pPr>
            <w:r>
              <w:rPr>
                <w:b/>
                <w:bCs/>
                <w:sz w:val="18"/>
                <w:szCs w:val="18"/>
              </w:rPr>
              <w:t xml:space="preserve">Engagement economics:</w:t>
            </w:r>
            <w:r>
              <w:rPr>
                <w:sz w:val="18"/>
                <w:szCs w:val="18"/>
              </w:rPr>
              <w:t xml:space="preserve"> cashback funded from bills margin, activation-gated referrals - built against fintech's 3-in-5 dormancy norm.</w:t>
            </w:r>
          </w:p>
        </w:tc>
        <w:tc>
          <w:tcPr>
            <w:tcW w:type="dxa" w:w="5040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 w:before="0" w:line="216"/>
            </w:pPr>
            <w:r>
              <w:rPr>
                <w:b/>
                <w:bCs/>
                <w:sz w:val="18"/>
                <w:szCs w:val="18"/>
              </w:rPr>
              <w:t xml:space="preserve">Dual-track to market: </w:t>
            </w:r>
            <w:r>
              <w:rPr>
                <w:sz w:val="18"/>
                <w:szCs w:val="18"/>
              </w:rPr>
              <w:t xml:space="preserve">direct SEC ARIP filing (₦2B capital; AIP in 9-18 months) in parallel with partnership/acquisition of an existing AIP holder (6-9-month fast path).</w:t>
            </w:r>
          </w:p>
          <w:p>
            <w:pPr>
              <w:spacing w:after="0" w:before="0" w:line="216"/>
            </w:pPr>
            <w:r>
              <w:rPr>
                <w:b/>
                <w:bCs/>
                <w:sz w:val="18"/>
                <w:szCs w:val="18"/>
              </w:rPr>
              <w:t xml:space="preserve">Compliance from day one: </w:t>
            </w:r>
            <w:r>
              <w:rPr>
                <w:sz w:val="18"/>
                <w:szCs w:val="18"/>
              </w:rPr>
              <w:t xml:space="preserve">CBN-compliant bank rails, FIRS monthly reporting, NDPC registration, NFIU/AML, BVN+NIN+selfie KYC.</w:t>
            </w:r>
          </w:p>
        </w:tc>
      </w:tr>
    </w:tbl>
    <w:p>
      <w:pPr>
        <w:spacing w:after="30" w:before="70" w:line="220"/>
      </w:pPr>
      <w:r>
        <w:rPr>
          <w:b/>
          <w:bCs/>
          <w:color w:val="2333D6"/>
          <w:sz w:val="18"/>
          <w:szCs w:val="18"/>
        </w:rPr>
        <w:t xml:space="preserve">ROADMAP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7880"/>
      </w:tblGrid>
      <w:tr>
        <w:tc>
          <w:tcPr>
            <w:tcW w:type="dxa" w:w="2200"/>
            <w:shd w:fill="E9ED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08"/>
            </w:pPr>
            <w:r>
              <w:rPr>
                <w:b/>
                <w:bCs/>
                <w:color w:val="0A0E28"/>
                <w:sz w:val="17"/>
                <w:szCs w:val="17"/>
              </w:rPr>
              <w:t xml:space="preserve">Phase 0 (Q3-Q4 2026)</w:t>
            </w:r>
          </w:p>
        </w:tc>
        <w:tc>
          <w:tcPr>
            <w:tcW w:type="dxa" w:w="7880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08"/>
            </w:pPr>
            <w:r>
              <w:rPr>
                <w:sz w:val="17"/>
                <w:szCs w:val="17"/>
              </w:rPr>
              <w:t xml:space="preserve">Incorporation, ARIP filing, bank rails, custody + KYC stack; closed beta with live status page.</w:t>
            </w:r>
          </w:p>
        </w:tc>
      </w:tr>
      <w:tr>
        <w:tc>
          <w:tcPr>
            <w:tcW w:type="dxa" w:w="2200"/>
            <w:shd w:fill="E9ED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08"/>
            </w:pPr>
            <w:r>
              <w:rPr>
                <w:b/>
                <w:bCs/>
                <w:color w:val="0A0E28"/>
                <w:sz w:val="17"/>
                <w:szCs w:val="17"/>
              </w:rPr>
              <w:t xml:space="preserve">Phase 1 (launch)</w:t>
            </w:r>
          </w:p>
        </w:tc>
        <w:tc>
          <w:tcPr>
            <w:tcW w:type="dxa" w:w="7880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08"/>
            </w:pPr>
            <w:r>
              <w:rPr>
                <w:sz w:val="17"/>
                <w:szCs w:val="17"/>
              </w:rPr>
              <w:t xml:space="preserve">Buy/sell/swap, instant naira ramps, bills with cashback; campus ambassadors + gated referrals.</w:t>
            </w:r>
          </w:p>
        </w:tc>
      </w:tr>
      <w:tr>
        <w:tc>
          <w:tcPr>
            <w:tcW w:type="dxa" w:w="2200"/>
            <w:shd w:fill="E9ED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08"/>
            </w:pPr>
            <w:r>
              <w:rPr>
                <w:b/>
                <w:bCs/>
                <w:color w:val="0A0E28"/>
                <w:sz w:val="17"/>
                <w:szCs w:val="17"/>
              </w:rPr>
              <w:t xml:space="preserve">Phase 2</w:t>
            </w:r>
          </w:p>
        </w:tc>
        <w:tc>
          <w:tcPr>
            <w:tcW w:type="dxa" w:w="7880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08"/>
            </w:pPr>
            <w:r>
              <w:rPr>
                <w:sz w:val="17"/>
                <w:szCs w:val="17"/>
              </w:rPr>
              <w:t xml:space="preserve">Gift cards at scale; savings (6-8% APY) after full VASP registration + SEC product approval.</w:t>
            </w:r>
          </w:p>
        </w:tc>
      </w:tr>
      <w:tr>
        <w:tc>
          <w:tcPr>
            <w:tcW w:type="dxa" w:w="2200"/>
            <w:shd w:fill="E9ED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08"/>
            </w:pPr>
            <w:r>
              <w:rPr>
                <w:b/>
                <w:bCs/>
                <w:color w:val="0A0E28"/>
                <w:sz w:val="17"/>
                <w:szCs w:val="17"/>
              </w:rPr>
              <w:t xml:space="preserve">Phase 3</w:t>
            </w:r>
          </w:p>
        </w:tc>
        <w:tc>
          <w:tcPr>
            <w:tcW w:type="dxa" w:w="7880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08"/>
            </w:pPr>
            <w:r>
              <w:rPr>
                <w:sz w:val="17"/>
                <w:szCs w:val="17"/>
              </w:rPr>
              <w:t xml:space="preserve">E-Fund tokenized-asset investing via a licensed DAOP/crowdfunding partner; regional expansion review.</w:t>
            </w:r>
          </w:p>
        </w:tc>
      </w:tr>
    </w:tbl>
    <w:p>
      <w:pPr>
        <w:spacing w:after="30" w:before="70" w:line="220"/>
      </w:pPr>
      <w:r>
        <w:rPr>
          <w:b/>
          <w:bCs/>
          <w:color w:val="2333D6"/>
          <w:sz w:val="18"/>
          <w:szCs w:val="18"/>
        </w:rPr>
        <w:t xml:space="preserve">THE ASK / NEXT STEPS</w:t>
      </w:r>
    </w:p>
    <w:p>
      <w:pPr>
        <w:spacing w:after="0" w:before="0" w:line="216"/>
      </w:pPr>
      <w:r>
        <w:rPr>
          <w:b/>
          <w:bCs/>
          <w:sz w:val="18"/>
          <w:szCs w:val="18"/>
        </w:rPr>
        <w:t xml:space="preserve">Approve ₦2.1-2.5B (~$1.5-1.8M) regulatory capital and the 90-day plan: </w:t>
      </w:r>
      <w:r>
        <w:rPr>
          <w:sz w:val="18"/>
          <w:szCs w:val="18"/>
        </w:rPr>
        <w:t xml:space="preserve">incorporate and file ARIP, open bank-rail and AIP-partner negotiations, lock launch scope, appoint the proof-of-reserves attestation firm. Day-90 decision: direct licence vs. partner fast path.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2026-07-08T14:07:30.460Z</dcterms:created>
  <dcterms:modified xsi:type="dcterms:W3CDTF">2026-07-08T14:07:30.461Z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