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3200"/>
      </w:pPr>
      <w:r>
        <w:t xml:space="preserve"/>
      </w:r>
    </w:p>
    <w:p>
      <w:pPr>
        <w:spacing w:after="120"/>
        <w:jc w:val="left"/>
      </w:pPr>
      <w:r>
        <w:rPr>
          <w:b/>
          <w:bCs/>
          <w:color w:val="2333D6"/>
          <w:sz w:val="40"/>
          <w:szCs w:val="40"/>
        </w:rPr>
        <w:t xml:space="preserve">lentopay</w:t>
      </w:r>
    </w:p>
    <w:p>
      <w:pPr>
        <w:spacing w:after="240"/>
      </w:pPr>
      <w:r>
        <w:rPr>
          <w:b/>
          <w:bCs/>
          <w:color w:val="0A0E28"/>
          <w:sz w:val="64"/>
          <w:szCs w:val="64"/>
        </w:rPr>
        <w:t xml:space="preserve">Lentopay Exchange</w:t>
      </w:r>
    </w:p>
    <w:p>
      <w:pPr>
        <w:spacing w:after="480"/>
      </w:pPr>
      <w:r>
        <w:rPr>
          <w:color w:val="2333D6"/>
          <w:sz w:val="36"/>
          <w:szCs w:val="36"/>
        </w:rPr>
        <w:t xml:space="preserve">Market Research &amp; Product Strategy Report</w:t>
      </w:r>
    </w:p>
    <w:p>
      <w:pPr>
        <w:spacing w:after="120"/>
      </w:pPr>
      <w:r>
        <w:rPr>
          <w:color w:val="444444"/>
          <w:sz w:val="24"/>
          <w:szCs w:val="24"/>
        </w:rPr>
        <w:t xml:space="preserve">Nigeria-first crypto exchange &amp; everyday-money app — market opportunity, regulatory path, competitive strategy, monetization and go-to-market.</w:t>
      </w:r>
    </w:p>
    <w:p>
      <w:pPr>
        <w:spacing w:after="600"/>
      </w:pPr>
      <w:r>
        <w:t xml:space="preserve"/>
      </w:r>
    </w:p>
    <w:p>
      <w:pPr>
        <w:spacing w:after="80"/>
      </w:pPr>
      <w:r>
        <w:rPr>
          <w:b/>
          <w:bCs/>
          <w:sz w:val="26"/>
          <w:szCs w:val="26"/>
        </w:rPr>
        <w:t xml:space="preserve">July 2026</w:t>
      </w:r>
    </w:p>
    <w:p>
      <w:pPr>
        <w:spacing w:after="480"/>
      </w:pPr>
      <w:r>
        <w:rPr>
          <w:color w:val="444444"/>
          <w:sz w:val="24"/>
          <w:szCs w:val="24"/>
        </w:rPr>
        <w:t xml:space="preserve">Prepared for Oshodi-Tapa Agboola — Confidential</w:t>
      </w:r>
    </w:p>
    <w:tbl>
      <w:tblPr>
        <w:tblW w:type="dxa" w:w="936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2000"/>
        <w:gridCol w:w="2600"/>
        <w:gridCol w:w="2760"/>
        <w:gridCol w:w="2000"/>
      </w:tblGrid>
      <w:tr>
        <w:trPr>
          <w:tblHeader/>
        </w:trPr>
        <w:tc>
          <w:tcPr>
            <w:tcW w:type="dxa" w:w="2000"/>
            <w:shd w:fill="E9ED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Version</w:t>
            </w:r>
          </w:p>
        </w:tc>
        <w:tc>
          <w:tcPr>
            <w:tcW w:type="dxa" w:w="2600"/>
            <w:shd w:fill="E9ED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Date</w:t>
            </w:r>
          </w:p>
        </w:tc>
        <w:tc>
          <w:tcPr>
            <w:tcW w:type="dxa" w:w="2760"/>
            <w:shd w:fill="E9ED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Prepared by</w:t>
            </w:r>
          </w:p>
        </w:tc>
        <w:tc>
          <w:tcPr>
            <w:tcW w:type="dxa" w:w="2000"/>
            <w:shd w:fill="E9ED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1.0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July 2026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Strategy Consulting Team</w:t>
            </w:r>
          </w:p>
        </w:tc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Final — Client Review</w:t>
            </w:r>
          </w:p>
        </w:tc>
      </w:tr>
    </w:tbl>
    <w:p>
      <w:r>
        <w:br w:type="page"/>
      </w:r>
    </w:p>
    <w:p>
      <w:pPr>
        <w:spacing w:after="240"/>
      </w:pPr>
      <w:r>
        <w:rPr>
          <w:b/>
          <w:bCs/>
          <w:color w:val="2333D6"/>
          <w:sz w:val="32"/>
          <w:szCs w:val="32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pStyle w:val="Heading1"/>
        <w:pageBreakBefore/>
      </w:pPr>
      <w:r>
        <w:t xml:space="preserve">1. Executive Summary</w:t>
      </w:r>
    </w:p>
    <w:p>
      <w:pPr>
        <w:spacing w:after="120" w:line="276"/>
      </w:pPr>
      <w:r>
        <w:rPr>
          <w:sz w:val="22"/>
          <w:szCs w:val="22"/>
        </w:rPr>
        <w:t xml:space="preserve">Nigeria is the most attractive retail crypto market in Africa, and July 2026 is an unusually good moment to enter it — provided entry is licensed, stablecoin-centred, and trust-led.</w:t>
      </w:r>
    </w:p>
    <w:p>
      <w:pPr>
        <w:spacing w:after="120" w:line="276"/>
      </w:pPr>
      <w:r>
        <w:rPr>
          <w:b/>
          <w:bCs/>
          <w:sz w:val="22"/>
          <w:szCs w:val="22"/>
        </w:rPr>
        <w:t xml:space="preserve">The market is large and behaviourally distinctive.</w:t>
      </w:r>
      <w:r>
        <w:rPr>
          <w:sz w:val="22"/>
          <w:szCs w:val="22"/>
        </w:rPr>
        <w:t xml:space="preserve"> Nigeria received $92.1 billion in on-chain value in the twelve months to June 2025 — nearly three times South Africa — and ranks 2nd globally on grassroots adoption (Chainalysis, Oct 2025) [2]. An estimated 22 million Nigerians (~10% of the population) hold crypto (Mular, 2025) [7], and the dominant use case is not speculation but digital-dollar savings: stablecoins (USDT/USDC) account for roughly 43% of regional volume, driven by a naira that lost about half its value in 2023 and a further ~41% in 2024 (Chainalysis, Oct 2025 [2]; Nairametrics, Dec 2024 [11]).</w:t>
      </w:r>
    </w:p>
    <w:p>
      <w:pPr>
        <w:spacing w:after="120" w:line="276"/>
      </w:pPr>
      <w:r>
        <w:rPr>
          <w:b/>
          <w:bCs/>
          <w:sz w:val="22"/>
          <w:szCs w:val="22"/>
        </w:rPr>
        <w:t xml:space="preserve">Regulation has flipped from ban to gate.</w:t>
      </w:r>
      <w:r>
        <w:rPr>
          <w:sz w:val="22"/>
          <w:szCs w:val="22"/>
        </w:rPr>
        <w:t xml:space="preserve"> The Investments and Securities Act 2025 makes digital assets securities under SEC oversight; the SEC's ARIP programme is the licensing path (9–11 Approval-in-Principle holders as of July 2026, up from two in 2024); the CBN's December 2023 guidelines mean an SEC licence is the precondition for Nigerian bank accounts; and a January 2026 SEC circular raises minimum capital for exchanges to ₦2 billion (~$1.4M) (TechCabal, May 2025 [14]; Nairametrics, Jul 2026 [20]; CBN, Dec 2023 [21]; TechCabal, Jan 2026 [17]). There is now exactly one legal way in — and it doubles as a moat against the ~90% of Nigerian volume still stranded on unlicensed rails (Binance, Bybit, informal P2P) with no naira ramp and no recourse (Techpoint Africa, 2025) [39].</w:t>
      </w:r>
    </w:p>
    <w:p>
      <w:pPr>
        <w:spacing w:after="120" w:line="276"/>
      </w:pPr>
      <w:r>
        <w:rPr>
          <w:b/>
          <w:bCs/>
          <w:sz w:val="22"/>
          <w:szCs w:val="22"/>
        </w:rPr>
        <w:t xml:space="preserve">The competitive whitespace is precise.</w:t>
      </w:r>
      <w:r>
        <w:rPr>
          <w:sz w:val="22"/>
          <w:szCs w:val="22"/>
        </w:rPr>
        <w:t xml:space="preserve"> Licensed exchanges (Busha, Quidax, Luno) do not offer bill payments or gift cards; gift-card apps (Cardtonic, Prestmit) offer shallow, unlicensed crypto; Yellow Card — the best-funded African retail brand — exited retail entirely in January 2026 (The Condia, 2025) [35]. No licensed player unifies crypto trading + bills + gift cards + savings. That bundle is Lentopay's plan, and it is literally unoccupied.</w:t>
      </w:r>
    </w:p>
    <w:p>
      <w:pPr>
        <w:spacing w:after="120" w:line="276"/>
      </w:pPr>
      <w:r>
        <w:rPr>
          <w:b/>
          <w:bCs/>
          <w:sz w:val="22"/>
          <w:szCs w:val="22"/>
        </w:rPr>
        <w:t xml:space="preserve">Recommended strategy in one paragraph.</w:t>
      </w:r>
      <w:r>
        <w:rPr>
          <w:sz w:val="22"/>
          <w:szCs w:val="22"/>
        </w:rPr>
        <w:t xml:space="preserve"> Enter the SEC ARIP track immediately (or partner with/acquire an existing AIP holder to compress time-to-market); launch with the licensed core — buy/sell/swap, instant naira ramps, bills via aggregator partnership; differentiate on the three things the market visibly punishes competitors for lacking: a public naira off-ramp SLA with a live status page, monthly third-party proof-of-reserves from day one, and a bills-first daily engagement loop with crypto-funded cashback. Price at Quidax parity (0.1% order book, ₦100/₦200 flat fiat fees) with the swap spread displayed on the quote screen. Phase savings behind full registration and SEC product approval; phase E-Fund last, behind DAOP/crowdfunding cover or a licensed partner. Year-1 base-case revenue of roughly $0.4M (~₦660M) is achievable on 150k registered users at benchmark take rates, scaling to ~$3–7M by Year 3 (Section 6).</w:t>
      </w:r>
    </w:p>
    <w:p>
      <w:pPr>
        <w:spacing w:after="120" w:line="276"/>
      </w:pPr>
      <w:r>
        <w:rPr>
          <w:b/>
          <w:bCs/>
          <w:sz w:val="22"/>
          <w:szCs w:val="22"/>
        </w:rPr>
        <w:t xml:space="preserve">The decision required now:</w:t>
      </w:r>
      <w:r>
        <w:rPr>
          <w:sz w:val="22"/>
          <w:szCs w:val="22"/>
        </w:rPr>
        <w:t xml:space="preserve"> commit ₦2.1–2.5B (~$1.5–1.8M) of regulatory capital and begin incorporation, ARIP filing and bank-rail negotiations in Q3 2026, before the SEC's accelerating licence cadence lets global entrants (Luno, KuCoin Nigeria already admitted) saturate the licensed tier.</w:t>
      </w:r>
    </w:p>
    <w:p>
      <w:pPr>
        <w:pStyle w:val="Heading1"/>
        <w:pageBreakBefore/>
      </w:pPr>
      <w:r>
        <w:t xml:space="preserve">2. Market Opportunity</w:t>
      </w:r>
    </w:p>
    <w:p>
      <w:pPr>
        <w:pStyle w:val="Heading2"/>
      </w:pPr>
      <w:r>
        <w:t xml:space="preserve">2.1 Adoption and volume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sz w:val="22"/>
          <w:szCs w:val="22"/>
        </w:rPr>
        <w:t xml:space="preserve">Nigeria ranked </w:t>
      </w:r>
      <w:r>
        <w:rPr>
          <w:b/>
          <w:bCs/>
          <w:sz w:val="22"/>
          <w:szCs w:val="22"/>
        </w:rPr>
        <w:t xml:space="preserve">6th globally</w:t>
      </w:r>
      <w:r>
        <w:rPr>
          <w:sz w:val="22"/>
          <w:szCs w:val="22"/>
        </w:rPr>
        <w:t xml:space="preserve"> on the Chainalysis 2025 Global Crypto Adoption Index and </w:t>
      </w:r>
      <w:r>
        <w:rPr>
          <w:b/>
          <w:bCs/>
          <w:sz w:val="22"/>
          <w:szCs w:val="22"/>
        </w:rPr>
        <w:t xml:space="preserve">2nd on grassroots adoption</w:t>
      </w:r>
      <w:r>
        <w:rPr>
          <w:sz w:val="22"/>
          <w:szCs w:val="22"/>
        </w:rPr>
        <w:t xml:space="preserve">; the slip from 2nd overall is attributed to regulatory tightening closing informal channels, not to collapsing demand (Chainalysis, Sep–Oct 2025 [1]; Technext, Sep 2025 [3]).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  <w:sz w:val="22"/>
          <w:szCs w:val="22"/>
        </w:rPr>
        <w:t xml:space="preserve">$92.1 billion in on-chain value</w:t>
      </w:r>
      <w:r>
        <w:rPr>
          <w:sz w:val="22"/>
          <w:szCs w:val="22"/>
        </w:rPr>
        <w:t xml:space="preserve"> flowed into Nigeria between July 2024 and June 2025 — the largest in Sub-Saharan Africa, nearly 3x South Africa. The SSA region received $205B+, up ~52% year-on-year, the third-fastest-growing crypto region globally (Chainalysis, Oct 2025) [2]. An earlier IMF-cited figure put inflows at ~$59B for the year to June 2024 (Leadership.ng, 2025) [4] — the trajectory is steeply upward.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sz w:val="22"/>
          <w:szCs w:val="22"/>
        </w:rPr>
        <w:t xml:space="preserve">Nigeria ranked </w:t>
      </w:r>
      <w:r>
        <w:rPr>
          <w:b/>
          <w:bCs/>
          <w:sz w:val="22"/>
          <w:szCs w:val="22"/>
        </w:rPr>
        <w:t xml:space="preserve">3rd globally for DeFi adoption</w:t>
      </w:r>
      <w:r>
        <w:rPr>
          <w:sz w:val="22"/>
          <w:szCs w:val="22"/>
        </w:rPr>
        <w:t xml:space="preserve"> in the same index (Chainalysis, Oct 2025) [2].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sz w:val="22"/>
          <w:szCs w:val="22"/>
        </w:rPr>
        <w:t xml:space="preserve">A March 2025 volume surge followed a sudden naira devaluation — the defining behavioural signature of this market: </w:t>
      </w:r>
      <w:r>
        <w:rPr>
          <w:b/>
          <w:bCs/>
          <w:sz w:val="22"/>
          <w:szCs w:val="22"/>
        </w:rPr>
        <w:t xml:space="preserve">devaluation → stablecoin flight</w:t>
      </w:r>
      <w:r>
        <w:rPr>
          <w:sz w:val="22"/>
          <w:szCs w:val="22"/>
        </w:rPr>
        <w:t xml:space="preserve">, largely via centralized exchanges (Chainalysis, Oct 2025) [2].</w:t>
      </w:r>
    </w:p>
    <w:p>
      <w:pPr>
        <w:pStyle w:val="Heading2"/>
      </w:pPr>
      <w:r>
        <w:t xml:space="preserve">2.2 Stablecoin dominance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sz w:val="22"/>
          <w:szCs w:val="22"/>
        </w:rPr>
        <w:t xml:space="preserve">Stablecoins are </w:t>
      </w:r>
      <w:r>
        <w:rPr>
          <w:b/>
          <w:bCs/>
          <w:sz w:val="22"/>
          <w:szCs w:val="22"/>
        </w:rPr>
        <w:t xml:space="preserve">~43% of Sub-Saharan Africa's crypto volume</w:t>
      </w:r>
      <w:r>
        <w:rPr>
          <w:sz w:val="22"/>
          <w:szCs w:val="22"/>
        </w:rPr>
        <w:t xml:space="preserve">, and Nigeria captures roughly </w:t>
      </w:r>
      <w:r>
        <w:rPr>
          <w:b/>
          <w:bCs/>
          <w:sz w:val="22"/>
          <w:szCs w:val="22"/>
        </w:rPr>
        <w:t xml:space="preserve">40% of the region's stablecoin inflows</w:t>
      </w:r>
      <w:r>
        <w:rPr>
          <w:sz w:val="22"/>
          <w:szCs w:val="22"/>
        </w:rPr>
        <w:t xml:space="preserve"> — the highest concentration in SSA; USDT and USDC dominate (Chainalysis via Mariblock, Oct 2025) [5].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sz w:val="22"/>
          <w:szCs w:val="22"/>
        </w:rPr>
        <w:t xml:space="preserve">Nigeria processed </w:t>
      </w:r>
      <w:r>
        <w:rPr>
          <w:b/>
          <w:bCs/>
          <w:sz w:val="22"/>
          <w:szCs w:val="22"/>
        </w:rPr>
        <w:t xml:space="preserve">nearly $22 billion in stablecoin transactions</w:t>
      </w:r>
      <w:r>
        <w:rPr>
          <w:sz w:val="22"/>
          <w:szCs w:val="22"/>
        </w:rPr>
        <w:t xml:space="preserve"> in the year to June 2024, leading Africa (Plasma, 2025) [6].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sz w:val="22"/>
          <w:szCs w:val="22"/>
        </w:rPr>
        <w:t xml:space="preserve">Product implication: Lentopay should be architected around stablecoins as savings and transfer instruments, with BTC/ETH as secondary trading assets. cNGN (the SEC-approved naira stablecoin, launched Feb 2025) should be listed for regulator goodwill, but economics built on USDT/USDC — a naira-pegged coin does not hedge naira depreciation (Ledger Insights, Feb 2025) [50].</w:t>
      </w:r>
    </w:p>
    <w:p>
      <w:pPr>
        <w:pStyle w:val="Heading2"/>
      </w:pPr>
      <w:r>
        <w:t xml:space="preserve">2.3 Demand drivers: devaluation and remittances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sz w:val="22"/>
          <w:szCs w:val="22"/>
        </w:rPr>
        <w:t xml:space="preserve">The naira collapsed from ~₦460/$ (June 2023) to ~₦1,600/$ (Jan 2024) after the CBN floated it; it lost 51.5% of its value in 2023 and a further 40.9% in 2024, closing 2024 at ₦1,535/$ with inflation near 35% (Nairametrics, Dec 2024) [11]. This is the single biggest driver of stablecoin adoption.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sz w:val="22"/>
          <w:szCs w:val="22"/>
        </w:rPr>
        <w:t xml:space="preserve">Nigeria receives </w:t>
      </w:r>
      <w:r>
        <w:rPr>
          <w:b/>
          <w:bCs/>
          <w:sz w:val="22"/>
          <w:szCs w:val="22"/>
        </w:rPr>
        <w:t xml:space="preserve">~$20 billion/year in remittances</w:t>
      </w:r>
      <w:r>
        <w:rPr>
          <w:sz w:val="22"/>
          <w:szCs w:val="22"/>
        </w:rPr>
        <w:t xml:space="preserve">. Traditional channels cost 5–12% in fees plus a 3–5% FX haircut and settle in 3–7 days (average fee ~8.45% in Q3 2024); stablecoin transfers settle in minutes for under $1 (Plasma, 2025 [6]; Leadership.ng citing IMF, 2025 [4]).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sz w:val="22"/>
          <w:szCs w:val="22"/>
        </w:rPr>
        <w:t xml:space="preserve">The 2024 Binance naira delisting (Mar 2024) pushed P2P volume to Bybit, KuCoin and informal Telegram/WhatsApp channels, while the SEC signalled intent to delist the naira from P2P platforms entirely (Businessday, Mar 2024 [12]; Cointelegraph, May 2024 [13]). Regulated on/off-ramps are the compliant substitute for the P2P gray market — this is the core structural opportunity, and the SEC's stated preference.</w:t>
      </w:r>
    </w:p>
    <w:p>
      <w:pPr>
        <w:pStyle w:val="Heading2"/>
      </w:pPr>
      <w:r>
        <w:t xml:space="preserve">2.4 User demographics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  <w:sz w:val="22"/>
          <w:szCs w:val="22"/>
        </w:rPr>
        <w:t xml:space="preserve">~81.5% of Nigerian crypto users are aged 18–34</w:t>
      </w:r>
      <w:r>
        <w:rPr>
          <w:sz w:val="22"/>
          <w:szCs w:val="22"/>
        </w:rPr>
        <w:t xml:space="preserve"> (41.9% aged 18–24; 39.6% aged 25–34); a KPMG-cited survey found 35% of Nigerian adults have invested in crypto, 52% of them under 30; gender split approaches parity in one 2025 survey (Springer Nature, 2025 [8]; KPMG Nigeria, Mar 2025 [9]).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sz w:val="22"/>
          <w:szCs w:val="22"/>
        </w:rPr>
        <w:t xml:space="preserve">Most-used platforms in surveys: Binance 82.4%, Trust Wallet 65.5%, P2P channels 50.4% — a mobile-first, self-custody-comfortable market currently served mostly by unlicensed rails (Springer Nature, 2025) [8].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sz w:val="22"/>
          <w:szCs w:val="22"/>
        </w:rPr>
        <w:t xml:space="preserve">Nigeria's median age is ~18; ~107M internet users (~45% penetration) at the start of 2025, rising to ~112.7M internet subscriptions and ~52% broadband penetration by December 2025 (DataReportal, Feb 2025) [10]. Headwind: entry-level smartphones cost more than three months' minimum wage, capping the bottom of the market.</w:t>
      </w:r>
    </w:p>
    <w:p>
      <w:pPr>
        <w:pStyle w:val="Heading2"/>
      </w:pPr>
      <w:r>
        <w:t xml:space="preserve">2.5 Market sizing: TAM / SAM / SOM</w:t>
      </w:r>
    </w:p>
    <w:p>
      <w:pPr>
        <w:spacing w:after="120" w:line="276"/>
      </w:pPr>
      <w:r>
        <w:rPr>
          <w:sz w:val="22"/>
          <w:szCs w:val="22"/>
        </w:rPr>
        <w:t xml:space="preserve">No published source sizes the licensed-retail-exchange revenue pool in Nigeria, so the estimate below is built bottom-up from sourced inputs. Assumptions are explicit and should be stress-tested as real cohort data arrives.</w:t>
      </w:r>
    </w:p>
    <w:tbl>
      <w:tblPr>
        <w:tblW w:type="dxa" w:w="936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E9ED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sz w:val="20"/>
                <w:szCs w:val="20"/>
              </w:rPr>
              <w:t xml:space="preserve">Layer</w:t>
            </w:r>
          </w:p>
        </w:tc>
        <w:tc>
          <w:tcPr>
            <w:tcW w:type="dxa" w:w="2340"/>
            <w:shd w:fill="E9ED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sz w:val="20"/>
                <w:szCs w:val="20"/>
              </w:rPr>
              <w:t xml:space="preserve">Definition</w:t>
            </w:r>
          </w:p>
        </w:tc>
        <w:tc>
          <w:tcPr>
            <w:tcW w:type="dxa" w:w="2340"/>
            <w:shd w:fill="E9ED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sz w:val="20"/>
                <w:szCs w:val="20"/>
              </w:rPr>
              <w:t xml:space="preserve">Estimate</w:t>
            </w:r>
          </w:p>
        </w:tc>
        <w:tc>
          <w:tcPr>
            <w:tcW w:type="dxa" w:w="2340"/>
            <w:shd w:fill="E9ED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sz w:val="20"/>
                <w:szCs w:val="20"/>
              </w:rPr>
              <w:t xml:space="preserve">Explicit assumptions</w:t>
            </w:r>
          </w:p>
        </w:tc>
      </w:tr>
      <w:tr>
        <w:trPr>
          <w:tblHeader w:val="false"/>
        </w:trPr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sz w:val="20"/>
                <w:szCs w:val="20"/>
              </w:rPr>
              <w:t xml:space="preserve">TAM</w:t>
            </w:r>
          </w:p>
        </w:tc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sz w:val="20"/>
                <w:szCs w:val="20"/>
              </w:rPr>
              <w:t xml:space="preserve">All Nigerian crypto users</w:t>
            </w:r>
          </w:p>
        </w:tc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sz w:val="20"/>
                <w:szCs w:val="20"/>
              </w:rPr>
              <w:t xml:space="preserve">~22M users; $92.1B annual flows</w:t>
            </w:r>
          </w:p>
        </w:tc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sz w:val="20"/>
                <w:szCs w:val="20"/>
              </w:rPr>
              <w:t xml:space="preserve">Mular 2025 user count [7]; Chainalysis flows [2]</w:t>
            </w:r>
          </w:p>
        </w:tc>
      </w:tr>
      <w:tr>
        <w:trPr>
          <w:tblHeader w:val="false"/>
        </w:trPr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sz w:val="20"/>
                <w:szCs w:val="20"/>
              </w:rPr>
              <w:t xml:space="preserve">SAM</w:t>
            </w:r>
          </w:p>
        </w:tc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sz w:val="20"/>
                <w:szCs w:val="20"/>
              </w:rPr>
              <w:t xml:space="preserve">Users addressable by a licensed retail app</w:t>
            </w:r>
          </w:p>
        </w:tc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sz w:val="20"/>
                <w:szCs w:val="20"/>
              </w:rPr>
              <w:t xml:space="preserve">~10–12M users</w:t>
            </w:r>
          </w:p>
        </w:tc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sz w:val="20"/>
                <w:szCs w:val="20"/>
              </w:rPr>
              <w:t xml:space="preserve">Smartphone owners with internet access (~107M internet users [10]) who are KYC-able (BVN/NIN) and transact on centralized rails (~90% of activity is centralized/P2P [39]); excludes pure self-custody/DeFi-only users</w:t>
            </w:r>
          </w:p>
        </w:tc>
      </w:tr>
      <w:tr>
        <w:trPr>
          <w:tblHeader w:val="false"/>
        </w:trPr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sz w:val="20"/>
                <w:szCs w:val="20"/>
              </w:rPr>
              <w:t xml:space="preserve">SOM (Year 3)</w:t>
            </w:r>
          </w:p>
        </w:tc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sz w:val="20"/>
                <w:szCs w:val="20"/>
              </w:rPr>
              <w:t xml:space="preserve">Realistic licensed-app capture</w:t>
            </w:r>
          </w:p>
        </w:tc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sz w:val="20"/>
                <w:szCs w:val="20"/>
              </w:rPr>
              <w:t xml:space="preserve">400k–600k registered; 40k–75k monthly actives</w:t>
            </w:r>
          </w:p>
        </w:tc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sz w:val="20"/>
                <w:szCs w:val="20"/>
              </w:rPr>
              <w:t xml:space="preserve">Busha reached 800k registered/~10% MAU in ~5 years with first-mover licence [31]; Roqqu claims 1.4M registered [33]; assumes Lentopay matches licensed-peer growth with a broader bundle and funded GTM</w:t>
            </w:r>
          </w:p>
        </w:tc>
      </w:tr>
      <w:tr>
        <w:trPr>
          <w:tblHeader w:val="false"/>
        </w:trPr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sz w:val="20"/>
                <w:szCs w:val="20"/>
              </w:rPr>
              <w:t xml:space="preserve">SOM revenue (Year 3)</w:t>
            </w:r>
          </w:p>
        </w:tc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sz w:val="20"/>
                <w:szCs w:val="20"/>
              </w:rPr>
              <w:t xml:space="preserve">Annual revenue at benchmark take rates</w:t>
            </w:r>
          </w:p>
        </w:tc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sz w:val="20"/>
                <w:szCs w:val="20"/>
              </w:rPr>
              <w:t xml:space="preserve">~$3–7M</w:t>
            </w:r>
          </w:p>
        </w:tc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sz w:val="20"/>
                <w:szCs w:val="20"/>
              </w:rPr>
              <w:t xml:space="preserve">50k–70k avg MAU × $70–110 ARPU/MAU/yr (Section 6.3 stack); registered-to-active ratio held at 10–13% (market norm: 3 in 5 fintech accounts are dormant [45])</w:t>
            </w:r>
          </w:p>
        </w:tc>
      </w:tr>
    </w:tbl>
    <w:p>
      <w:pPr>
        <w:spacing w:after="120"/>
      </w:pPr>
      <w:r>
        <w:rPr>
          <w:sz w:val="12"/>
          <w:szCs w:val="12"/>
        </w:rPr>
        <w:t xml:space="preserve"/>
      </w:r>
    </w:p>
    <w:p>
      <w:pPr>
        <w:spacing w:after="120" w:line="276"/>
      </w:pPr>
      <w:r>
        <w:rPr>
          <w:sz w:val="22"/>
          <w:szCs w:val="22"/>
        </w:rPr>
        <w:t xml:space="preserve">Two sizing cross-checks: (1) Yellow Card generated a 7x revenue increase on $3B+ volumes at a blended sub-1% spread take — confirming that volume, not user count, drives exchange revenue (TechCrunch, Oct 2024) [34]; (2) Obiex reports profitability on $731M processed with a lean spread model (TechCabal, Nov 2025) [38] — the unit economics close at modest scale if operating costs stay lean.</w:t>
      </w:r>
    </w:p>
    <w:p>
      <w:pPr>
        <w:pStyle w:val="Heading1"/>
        <w:pageBreakBefore/>
      </w:pPr>
      <w:r>
        <w:t xml:space="preserve">3. Regulatory Landscape &amp; Licensing Strategy</w:t>
      </w:r>
    </w:p>
    <w:p>
      <w:pPr>
        <w:pStyle w:val="Heading2"/>
      </w:pPr>
      <w:r>
        <w:t xml:space="preserve">3.1 The legal architecture as of July 2026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  <w:sz w:val="22"/>
          <w:szCs w:val="22"/>
        </w:rPr>
        <w:t xml:space="preserve">ISA 2025</w:t>
      </w:r>
      <w:r>
        <w:rPr>
          <w:sz w:val="22"/>
          <w:szCs w:val="22"/>
        </w:rPr>
        <w:t xml:space="preserve"> (signed 25 Mar 2025) statutorily defines digital assets as securities and places issuers, exchanges, wallet providers, custodians and advisers under SEC oversight; it also criminalizes Ponzi schemes — up to 10 years' imprisonment and ₦40M fines (TechCabal, May 2025 [14]; Punch, Apr 2025 [15]).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  <w:sz w:val="22"/>
          <w:szCs w:val="22"/>
        </w:rPr>
        <w:t xml:space="preserve">SEC Digital Assets Rules</w:t>
      </w:r>
      <w:r>
        <w:rPr>
          <w:sz w:val="22"/>
          <w:szCs w:val="22"/>
        </w:rPr>
        <w:t xml:space="preserve"> (2022 base framework, amendments effective 30 Jun 2025) define the licence classes: VASP, Digital Assets Exchange (DAX), Digital Assets Offering Platform (DAOP), Digital Assets Custodian (DAC) (SEC Nigeria, 2022) [16].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  <w:sz w:val="22"/>
          <w:szCs w:val="22"/>
        </w:rPr>
        <w:t xml:space="preserve">ARIP</w:t>
      </w:r>
      <w:r>
        <w:rPr>
          <w:sz w:val="22"/>
          <w:szCs w:val="22"/>
        </w:rPr>
        <w:t xml:space="preserve"> (Accelerated Regulatory Incubation Programme, launched Jun 2024) is the actual onboarding path: incorporation in Nigeria with a physical office, resident CEO/MD, ₦2M processing fee, shareholders' funds evidence plus fidelity bond ≥25% of capital, SEC Forms 2/2D for at least four principal officers, filing via a registered solicitor (SEC ARIP checklist) [18]. Approval-in-Principle (AIP) runs up to 12 months, then firms "regularize" into full registration (Mondaq/Goldsmiths, 2025) [54].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  <w:sz w:val="22"/>
          <w:szCs w:val="22"/>
        </w:rPr>
        <w:t xml:space="preserve">Capital:</w:t>
      </w:r>
      <w:r>
        <w:rPr>
          <w:sz w:val="22"/>
          <w:szCs w:val="22"/>
        </w:rPr>
        <w:t xml:space="preserve"> SEC Circular 26-1 (16 Jan 2026) raises minimum capital for DAX/custodians to </w:t>
      </w:r>
      <w:r>
        <w:rPr>
          <w:b/>
          <w:bCs/>
          <w:sz w:val="22"/>
          <w:szCs w:val="22"/>
        </w:rPr>
        <w:t xml:space="preserve">₦2 billion (~$1.4M)</w:t>
      </w:r>
      <w:r>
        <w:rPr>
          <w:sz w:val="22"/>
          <w:szCs w:val="22"/>
        </w:rPr>
        <w:t xml:space="preserve">, from ₦500M; tokenization platforms ₦1B; compliance deadline 30 Jun 2027 (TechCabal, Jan 2026) [17]. A new entrant should simply meet the ₦2B bar at application. Realistic all-in regulatory capital and costs: </w:t>
      </w:r>
      <w:r>
        <w:rPr>
          <w:b/>
          <w:bCs/>
          <w:sz w:val="22"/>
          <w:szCs w:val="22"/>
        </w:rPr>
        <w:t xml:space="preserve">₦2.1–2.5B (~$1.5–1.8M)</w:t>
      </w:r>
      <w:r>
        <w:rPr>
          <w:sz w:val="22"/>
          <w:szCs w:val="22"/>
        </w:rPr>
        <w:t xml:space="preserve"> including fidelity bond, ₦2M ARIP fee, ~₦30M registration fees, and legal/advisory.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  <w:sz w:val="22"/>
          <w:szCs w:val="22"/>
        </w:rPr>
        <w:t xml:space="preserve">Banking access:</w:t>
      </w:r>
      <w:r>
        <w:rPr>
          <w:sz w:val="22"/>
          <w:szCs w:val="22"/>
        </w:rPr>
        <w:t xml:space="preserve"> the CBN's 22 Dec 2023 guidelines permit banks to open designated accounts </w:t>
      </w:r>
      <w:r>
        <w:rPr>
          <w:b/>
          <w:bCs/>
          <w:sz w:val="22"/>
          <w:szCs w:val="22"/>
        </w:rPr>
        <w:t xml:space="preserve">for SEC-licensed VASPs only</w:t>
      </w:r>
      <w:r>
        <w:rPr>
          <w:sz w:val="22"/>
          <w:szCs w:val="22"/>
        </w:rPr>
        <w:t xml:space="preserve">. No SEC licence → no Nigerian bank account for a crypto business (CBN, Dec 2023) [21]. Note that mainstream PSPs (Paystack, Flutterwave) still contractually exclude crypto businesses; the realistic naira rails are bank-transfer virtual accounts (Providus, 9PSB, Monnify) negotiated bilaterally once licensed. The CBN's March 2026 pilot bringing Flutterwave and Paystack under VASP-related supervision may loosen this over time (Technext, Apr 2026) [22].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  <w:sz w:val="22"/>
          <w:szCs w:val="22"/>
        </w:rPr>
        <w:t xml:space="preserve">Tax (launch-blocking system requirement):</w:t>
      </w:r>
      <w:r>
        <w:rPr>
          <w:sz w:val="22"/>
          <w:szCs w:val="22"/>
        </w:rPr>
        <w:t xml:space="preserve"> the Nigeria Tax Act / Tax Administration Act 2025 took effect 1 Jan 2026. Exchanges must file </w:t>
      </w:r>
      <w:r>
        <w:rPr>
          <w:b/>
          <w:bCs/>
          <w:sz w:val="22"/>
          <w:szCs w:val="22"/>
        </w:rPr>
        <w:t xml:space="preserve">monthly per-user transaction reports to FIRS</w:t>
      </w:r>
      <w:r>
        <w:rPr>
          <w:sz w:val="22"/>
          <w:szCs w:val="22"/>
        </w:rPr>
        <w:t xml:space="preserve"> (identities, transaction details, dates, asset types, naira values); penalties start at ₦100,000 plus monthly charges, with imprisonment possible for evasion. User gains are taxable — a 10% CGT-style baseline is referenced, but crypto profits can be taxed as income at up to 25% for individuals; rate reporting varies across outlets, so the gazetted Act text must be verified with Nigerian tax counsel before tax logic is built (Forbes, Feb 2026 [23]; Technext, Oct 2025 [24]).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  <w:sz w:val="22"/>
          <w:szCs w:val="22"/>
        </w:rPr>
        <w:t xml:space="preserve">Data protection:</w:t>
      </w:r>
      <w:r>
        <w:rPr>
          <w:sz w:val="22"/>
          <w:szCs w:val="22"/>
        </w:rPr>
        <w:t xml:space="preserve"> under the NDPA 2023, a crypto exchange qualifies as a Data Controller of Major Importance — mandatory NDPC registration, a DPO, DPIAs, written DPAs with KYC vendors, and 72-hour breach notification; penalties up to ₦10M or 2% of annual gross revenue (FPF, 2023) [26].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  <w:sz w:val="22"/>
          <w:szCs w:val="22"/>
        </w:rPr>
        <w:t xml:space="preserve">AML/CFT:</w:t>
      </w:r>
      <w:r>
        <w:rPr>
          <w:sz w:val="22"/>
          <w:szCs w:val="22"/>
        </w:rPr>
        <w:t xml:space="preserve"> VASPs are financial institutions under the Money Laundering (Prevention &amp; Prohibition) Act 2022 — full AML programme, KYT/sanctions screening, CTRs within 24 hours and STRs within 7 days to the NFIU. CBN tiered KYC applies: Tier 1 BVN or NIN (~₦30k daily), Tier 2 BVN+NIN+ID (~₦500k daily), Tier 3 full KYC, no limits (ANQA, 2025 [27]; Youverify, 2026 [28]).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  <w:sz w:val="22"/>
          <w:szCs w:val="22"/>
        </w:rPr>
        <w:t xml:space="preserve">The Binance precedent defines the downside:</w:t>
      </w:r>
      <w:r>
        <w:rPr>
          <w:sz w:val="22"/>
          <w:szCs w:val="22"/>
        </w:rPr>
        <w:t xml:space="preserve"> executive detention (Feb–Oct 2024), an $81.5B FIRS lawsuit (Feb 2025), naira delisting, ISP blocking. Operating without local incorporation and licence is treated as a national-security-level offence; "significant economic presence" creates tax exposure even offshore; executives are personally at risk (CoinDesk, Feb 2025) [25]. Local incorporation, licensing and proactive regulator relations are non-negotiable.</w:t>
      </w:r>
    </w:p>
    <w:p>
      <w:pPr>
        <w:pStyle w:val="Heading2"/>
      </w:pPr>
      <w:r>
        <w:t xml:space="preserve">3.2 Recommended licensing path and timeline</w:t>
      </w:r>
    </w:p>
    <w:p>
      <w:pPr>
        <w:spacing w:after="120" w:line="276"/>
      </w:pPr>
      <w:r>
        <w:rPr>
          <w:b/>
          <w:bCs/>
          <w:sz w:val="22"/>
          <w:szCs w:val="22"/>
        </w:rPr>
        <w:t xml:space="preserve">Recommendation: run the direct ARIP track and the partnership track in parallel for the first 90 days, then commit to one.</w:t>
      </w:r>
      <w:r>
        <w:rPr>
          <w:sz w:val="22"/>
          <w:szCs w:val="22"/>
        </w:rPr>
        <w:t xml:space="preserve"> The SEC's cadence is accelerating (2 AIP holders in 2024 → 9–11 by July 2026, including Luno and KuCoin Nigeria) [20], but "9–18 months to AIP" remains the realistic direct-path planning figure based on peer experience [54].</w:t>
      </w:r>
    </w:p>
    <w:tbl>
      <w:tblPr>
        <w:tblW w:type="dxa" w:w="936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E9ED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sz w:val="20"/>
                <w:szCs w:val="20"/>
              </w:rPr>
              <w:t xml:space="preserve">Step</w:t>
            </w:r>
          </w:p>
        </w:tc>
        <w:tc>
          <w:tcPr>
            <w:tcW w:type="dxa" w:w="2340"/>
            <w:shd w:fill="E9ED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sz w:val="20"/>
                <w:szCs w:val="20"/>
              </w:rPr>
              <w:t xml:space="preserve">Track A: Direct ARIP</w:t>
            </w:r>
          </w:p>
        </w:tc>
        <w:tc>
          <w:tcPr>
            <w:tcW w:type="dxa" w:w="2340"/>
            <w:shd w:fill="E9ED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sz w:val="20"/>
                <w:szCs w:val="20"/>
              </w:rPr>
              <w:t xml:space="preserve">Indicative timing</w:t>
            </w:r>
          </w:p>
        </w:tc>
        <w:tc>
          <w:tcPr>
            <w:tcW w:type="dxa" w:w="2340"/>
            <w:shd w:fill="E9ED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sz w:val="20"/>
                <w:szCs w:val="20"/>
              </w:rPr>
              <w:t xml:space="preserve">Track B: Partner/acquire an AIP holder (fast path)</w:t>
            </w:r>
          </w:p>
        </w:tc>
      </w:tr>
      <w:tr>
        <w:trPr>
          <w:tblHeader w:val="false"/>
        </w:trPr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sz w:val="20"/>
                <w:szCs w:val="20"/>
              </w:rPr>
              <w:t xml:space="preserve">Incorporate in Nigeria; physical office; resident CEO/MD; hire 4+ principal officers incl. compliance officer</w:t>
            </w:r>
          </w:p>
        </w:tc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sz w:val="20"/>
                <w:szCs w:val="20"/>
              </w:rPr>
              <w:t xml:space="preserve">Month 0–2</w:t>
            </w:r>
          </w:p>
        </w:tc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sz w:val="20"/>
                <w:szCs w:val="20"/>
              </w:rPr>
              <w:t xml:space="preserve">Approach candidate AIP holders (KoinKoin, Bitbarter, GIGX; or licensed Busha/Quidax as white-label/JV) — Month 0–2</w:t>
            </w:r>
          </w:p>
        </w:tc>
      </w:tr>
      <w:tr>
        <w:trPr>
          <w:tblHeader w:val="false"/>
        </w:trPr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sz w:val="20"/>
                <w:szCs w:val="20"/>
              </w:rPr>
              <w:t xml:space="preserve">Capitalize to ₦2B + fidelity bond ≥25%; engage registered solicitor</w:t>
            </w:r>
          </w:p>
        </w:tc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sz w:val="20"/>
                <w:szCs w:val="20"/>
              </w:rPr>
              <w:t xml:space="preserve">Month 1–3</w:t>
            </w:r>
          </w:p>
        </w:tc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sz w:val="20"/>
                <w:szCs w:val="20"/>
              </w:rPr>
              <w:t xml:space="preserve">Negotiate equity stake, acquisition, or operating agreement under the partner's AIP perimeter — Month 2–5</w:t>
            </w:r>
          </w:p>
        </w:tc>
      </w:tr>
      <w:tr>
        <w:trPr>
          <w:tblHeader w:val="false"/>
        </w:trPr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sz w:val="20"/>
                <w:szCs w:val="20"/>
              </w:rPr>
              <w:t xml:space="preserve">File ARIP application (₦2M fee, Forms 2/2D, sectoral no-objection letters)</w:t>
            </w:r>
          </w:p>
        </w:tc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sz w:val="20"/>
                <w:szCs w:val="20"/>
              </w:rPr>
              <w:t xml:space="preserve">Month 3–4</w:t>
            </w:r>
          </w:p>
        </w:tc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sz w:val="20"/>
                <w:szCs w:val="20"/>
              </w:rPr>
              <w:t xml:space="preserve">SEC change-of-control / no-objection process — Month 4–7</w:t>
            </w:r>
          </w:p>
        </w:tc>
      </w:tr>
      <w:tr>
        <w:trPr>
          <w:tblHeader w:val="false"/>
        </w:trPr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sz w:val="20"/>
                <w:szCs w:val="20"/>
              </w:rPr>
              <w:t xml:space="preserve">SEC review → Approval-in-Principle</w:t>
            </w:r>
          </w:p>
        </w:tc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sz w:val="20"/>
                <w:szCs w:val="20"/>
              </w:rPr>
              <w:t xml:space="preserve">Month 9–18</w:t>
            </w:r>
          </w:p>
        </w:tc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sz w:val="20"/>
                <w:szCs w:val="20"/>
              </w:rPr>
              <w:t xml:space="preserve">Launch under partner licence — Month 6–9</w:t>
            </w:r>
          </w:p>
        </w:tc>
      </w:tr>
      <w:tr>
        <w:trPr>
          <w:tblHeader w:val="false"/>
        </w:trPr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sz w:val="20"/>
                <w:szCs w:val="20"/>
              </w:rPr>
              <w:t xml:space="preserve">Operate under AIP (≤12 months); bank VASP account negotiations; NDPC, NFIU, FIRS pipelines live</w:t>
            </w:r>
          </w:p>
        </w:tc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sz w:val="20"/>
                <w:szCs w:val="20"/>
              </w:rPr>
              <w:t xml:space="preserve">AIP + 0–12 months</w:t>
            </w:r>
          </w:p>
        </w:tc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sz w:val="20"/>
                <w:szCs w:val="20"/>
              </w:rPr>
              <w:t xml:space="preserve">Migrate to own registration over time, or deepen the partnership</w:t>
            </w:r>
          </w:p>
        </w:tc>
      </w:tr>
      <w:tr>
        <w:trPr>
          <w:tblHeader w:val="false"/>
        </w:trPr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sz w:val="20"/>
                <w:szCs w:val="20"/>
              </w:rPr>
              <w:t xml:space="preserve">6</w:t>
            </w:r>
          </w:p>
        </w:tc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sz w:val="20"/>
                <w:szCs w:val="20"/>
              </w:rPr>
              <w:t xml:space="preserve">Regularize to full VASP/DAX registration</w:t>
            </w:r>
          </w:p>
        </w:tc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sz w:val="20"/>
                <w:szCs w:val="20"/>
              </w:rPr>
              <w:t xml:space="preserve">Month 21–30</w:t>
            </w:r>
          </w:p>
        </w:tc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sz w:val="20"/>
                <w:szCs w:val="20"/>
              </w:rPr>
              <w:t xml:space="preserve">—</w:t>
            </w:r>
          </w:p>
        </w:tc>
      </w:tr>
    </w:tbl>
    <w:p>
      <w:pPr>
        <w:spacing w:after="120"/>
      </w:pPr>
      <w:r>
        <w:rPr>
          <w:sz w:val="12"/>
          <w:szCs w:val="12"/>
        </w:rPr>
        <w:t xml:space="preserve"/>
      </w:r>
    </w:p>
    <w:p>
      <w:pPr>
        <w:spacing w:after="120" w:line="276"/>
      </w:pPr>
      <w:r>
        <w:rPr>
          <w:sz w:val="22"/>
          <w:szCs w:val="22"/>
        </w:rPr>
        <w:t xml:space="preserve">Track B trades equity/cost for 6–12 months of time-to-market and inherits the partner's bank rails — a genuine option given the SEC's batched approval cadence [20]. Track B is also the recommended route for E-Fund regardless of the core-exchange decision (Section 3.3).</w:t>
      </w:r>
    </w:p>
    <w:p>
      <w:pPr>
        <w:spacing w:after="120" w:line="276"/>
      </w:pPr>
      <w:r>
        <w:rPr>
          <w:b/>
          <w:bCs/>
          <w:sz w:val="22"/>
          <w:szCs w:val="22"/>
        </w:rPr>
        <w:t xml:space="preserve">Parallel workstreams from day one (both tracks):</w:t>
      </w:r>
      <w:r>
        <w:rPr>
          <w:sz w:val="22"/>
          <w:szCs w:val="22"/>
        </w:rPr>
        <w:t xml:space="preserve"> NDPC registration; AML programme and NFIU reporting; FIRS monthly-reporting pipeline built into the ledger; SCUML analysis with counsel on whether gift-card operations trigger separate DNFBP registration; bank negotiations for CBN-compliant VASP accounts.</w:t>
      </w:r>
    </w:p>
    <w:p>
      <w:pPr>
        <w:pStyle w:val="Heading2"/>
      </w:pPr>
      <w:r>
        <w:t xml:space="preserve">3.3 Per-feature regulatory gating</w:t>
      </w:r>
    </w:p>
    <w:p>
      <w:pPr>
        <w:spacing w:after="120" w:line="276"/>
      </w:pPr>
      <w:r>
        <w:rPr>
          <w:sz w:val="22"/>
          <w:szCs w:val="22"/>
        </w:rPr>
        <w:t xml:space="preserve">Each PRD feature answers to a different regulator and gate. Sequencing is a compliance decision, not just a product one.</w:t>
      </w:r>
    </w:p>
    <w:tbl>
      <w:tblPr>
        <w:tblW w:type="dxa" w:w="936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E9ED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sz w:val="20"/>
                <w:szCs w:val="20"/>
              </w:rPr>
              <w:t xml:space="preserve">PRD feature</w:t>
            </w:r>
          </w:p>
        </w:tc>
        <w:tc>
          <w:tcPr>
            <w:tcW w:type="dxa" w:w="2340"/>
            <w:shd w:fill="E9ED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sz w:val="20"/>
                <w:szCs w:val="20"/>
              </w:rPr>
              <w:t xml:space="preserve">Regulatory gate</w:t>
            </w:r>
          </w:p>
        </w:tc>
        <w:tc>
          <w:tcPr>
            <w:tcW w:type="dxa" w:w="2340"/>
            <w:shd w:fill="E9ED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sz w:val="20"/>
                <w:szCs w:val="20"/>
              </w:rPr>
              <w:t xml:space="preserve">Practical path</w:t>
            </w:r>
          </w:p>
        </w:tc>
        <w:tc>
          <w:tcPr>
            <w:tcW w:type="dxa" w:w="2340"/>
            <w:shd w:fill="E9ED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sz w:val="20"/>
                <w:szCs w:val="20"/>
              </w:rPr>
              <w:t xml:space="preserve">Launch phase</w:t>
            </w:r>
          </w:p>
        </w:tc>
      </w:tr>
      <w:tr>
        <w:trPr>
          <w:tblHeader w:val="false"/>
        </w:trPr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sz w:val="20"/>
                <w:szCs w:val="20"/>
              </w:rPr>
              <w:t xml:space="preserve">Buy/sell/swap + fiat on/off-ramp</w:t>
            </w:r>
          </w:p>
        </w:tc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sz w:val="20"/>
                <w:szCs w:val="20"/>
              </w:rPr>
              <w:t xml:space="preserve">SEC AIP (→ full DAX/VASP); CBN-compliant bank VASP account</w:t>
            </w:r>
          </w:p>
        </w:tc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sz w:val="20"/>
                <w:szCs w:val="20"/>
              </w:rPr>
              <w:t xml:space="preserve">Core of the licence; virtual-account rails (Providus/9PSB/Monnify), not Paystack/Flutterwave cards</w:t>
            </w:r>
          </w:p>
        </w:tc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sz w:val="20"/>
                <w:szCs w:val="20"/>
              </w:rPr>
              <w:t xml:space="preserve">Launch</w:t>
            </w:r>
          </w:p>
        </w:tc>
      </w:tr>
      <w:tr>
        <w:trPr>
          <w:tblHeader w:val="false"/>
        </w:trPr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sz w:val="20"/>
                <w:szCs w:val="20"/>
              </w:rPr>
              <w:t xml:space="preserve">Bill payments (airtime, data, electricity, TV)</w:t>
            </w:r>
          </w:p>
        </w:tc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sz w:val="20"/>
                <w:szCs w:val="20"/>
              </w:rPr>
              <w:t xml:space="preserve">None directly if via licensed aggregator; own PSSP licence (₦100M refundable deposit) NOT needed</w:t>
            </w:r>
          </w:p>
        </w:tc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sz w:val="20"/>
                <w:szCs w:val="20"/>
              </w:rPr>
              <w:t xml:space="preserve">Integrate VTpass / Interswitch Quickteller (7,000+ billers) / Baxi; crypto leg stays inside VASP perimeter [30]</w:t>
            </w:r>
          </w:p>
        </w:tc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sz w:val="20"/>
                <w:szCs w:val="20"/>
              </w:rPr>
              <w:t xml:space="preserve">Launch / Phase 1</w:t>
            </w:r>
          </w:p>
        </w:tc>
      </w:tr>
      <w:tr>
        <w:trPr>
          <w:tblHeader w:val="false"/>
        </w:trPr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sz w:val="20"/>
                <w:szCs w:val="20"/>
              </w:rPr>
              <w:t xml:space="preserve">Gift card trading</w:t>
            </w:r>
          </w:p>
        </w:tc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sz w:val="20"/>
                <w:szCs w:val="20"/>
              </w:rPr>
              <w:t xml:space="preserve">No dedicated licence, but deep inside AML perimeter (known scam-proceeds channel)</w:t>
            </w:r>
          </w:p>
        </w:tc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sz w:val="20"/>
                <w:szCs w:val="20"/>
              </w:rPr>
              <w:t xml:space="preserve">BVN + government ID + selfie before any trade (incumbent standard); card validation engine; delayed settlement windows; fraud ops team [29]</w:t>
            </w:r>
          </w:p>
        </w:tc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sz w:val="20"/>
                <w:szCs w:val="20"/>
              </w:rPr>
              <w:t xml:space="preserve">Phase 1–2</w:t>
            </w:r>
          </w:p>
        </w:tc>
      </w:tr>
      <w:tr>
        <w:trPr>
          <w:tblHeader w:val="false"/>
        </w:trPr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sz w:val="20"/>
                <w:szCs w:val="20"/>
              </w:rPr>
              <w:t xml:space="preserve">Savings / yield</w:t>
            </w:r>
          </w:p>
        </w:tc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sz w:val="20"/>
                <w:szCs w:val="20"/>
              </w:rPr>
              <w:t xml:space="preserve">Yield product = investment contract/security under ISA 2025; SEC product approval; licensed Digital Assets Custodian; proof-of-reserves and insurance filings</w:t>
            </w:r>
          </w:p>
        </w:tc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sz w:val="20"/>
                <w:szCs w:val="20"/>
              </w:rPr>
              <w:t xml:space="preserve">Launch only after full VASP registration + specific product approval; conservative 6–8% APY; no fixed-return language (Ponzi provisions)</w:t>
            </w:r>
          </w:p>
        </w:tc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sz w:val="20"/>
                <w:szCs w:val="20"/>
              </w:rPr>
              <w:t xml:space="preserve">Phase 2–3</w:t>
            </w:r>
          </w:p>
        </w:tc>
      </w:tr>
      <w:tr>
        <w:trPr>
          <w:tblHeader w:val="false"/>
        </w:trPr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sz w:val="20"/>
                <w:szCs w:val="20"/>
              </w:rPr>
              <w:t xml:space="preserve">E-Fund (unlisted/tokenized assets)</w:t>
            </w:r>
          </w:p>
        </w:tc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sz w:val="20"/>
                <w:szCs w:val="20"/>
              </w:rPr>
              <w:t xml:space="preserve">DAOP registration or Crowdfunding Intermediary licence (₦100M capital; raise caps ₦50–100M per issuer/yr); per-offer SEC pre-clearance; tokenization platforms ₦1B capital</w:t>
            </w:r>
          </w:p>
        </w:tc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sz w:val="20"/>
                <w:szCs w:val="20"/>
              </w:rPr>
              <w:t xml:space="preserve">Heaviest burden of all features — partner with a licensed DAOP/crowdfunding intermediary (GetEquity's ARIP admission is the precedent)</w:t>
            </w:r>
          </w:p>
        </w:tc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sz w:val="20"/>
                <w:szCs w:val="20"/>
              </w:rPr>
              <w:t xml:space="preserve">Phase 3 / partner</w:t>
            </w:r>
          </w:p>
        </w:tc>
      </w:tr>
    </w:tbl>
    <w:p>
      <w:pPr>
        <w:spacing w:after="120"/>
      </w:pPr>
      <w:r>
        <w:rPr>
          <w:sz w:val="12"/>
          <w:szCs w:val="12"/>
        </w:rPr>
        <w:t xml:space="preserve"/>
      </w:r>
    </w:p>
    <w:p>
      <w:pPr>
        <w:pStyle w:val="Heading1"/>
        <w:pageBreakBefore/>
      </w:pPr>
      <w:r>
        <w:t xml:space="preserve">4. Competitive Landscape</w:t>
      </w:r>
    </w:p>
    <w:p>
      <w:pPr>
        <w:pStyle w:val="Heading2"/>
      </w:pPr>
      <w:r>
        <w:t xml:space="preserve">4.1 Feature matrix</w:t>
      </w:r>
    </w:p>
    <w:tbl>
      <w:tblPr>
        <w:tblW w:type="dxa" w:w="936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1394"/>
        <w:gridCol w:w="995"/>
        <w:gridCol w:w="995"/>
        <w:gridCol w:w="995"/>
        <w:gridCol w:w="995"/>
        <w:gridCol w:w="995"/>
        <w:gridCol w:w="995"/>
        <w:gridCol w:w="995"/>
        <w:gridCol w:w="1001"/>
      </w:tblGrid>
      <w:tr>
        <w:trPr>
          <w:tblHeader/>
        </w:trPr>
        <w:tc>
          <w:tcPr>
            <w:tcW w:type="dxa" w:w="1394"/>
            <w:shd w:fill="E9ED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sz w:val="16"/>
                <w:szCs w:val="16"/>
              </w:rPr>
              <w:t xml:space="preserve">Platform</w:t>
            </w:r>
          </w:p>
        </w:tc>
        <w:tc>
          <w:tcPr>
            <w:tcW w:type="dxa" w:w="995"/>
            <w:shd w:fill="E9ED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sz w:val="16"/>
                <w:szCs w:val="16"/>
              </w:rPr>
              <w:t xml:space="preserve">SEC status (NG)</w:t>
            </w:r>
          </w:p>
        </w:tc>
        <w:tc>
          <w:tcPr>
            <w:tcW w:type="dxa" w:w="995"/>
            <w:shd w:fill="E9ED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sz w:val="16"/>
                <w:szCs w:val="16"/>
              </w:rPr>
              <w:t xml:space="preserve">Buy/sell/swap</w:t>
            </w:r>
          </w:p>
        </w:tc>
        <w:tc>
          <w:tcPr>
            <w:tcW w:type="dxa" w:w="995"/>
            <w:shd w:fill="E9ED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sz w:val="16"/>
                <w:szCs w:val="16"/>
              </w:rPr>
              <w:t xml:space="preserve">Bills/airtime</w:t>
            </w:r>
          </w:p>
        </w:tc>
        <w:tc>
          <w:tcPr>
            <w:tcW w:type="dxa" w:w="995"/>
            <w:shd w:fill="E9ED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sz w:val="16"/>
                <w:szCs w:val="16"/>
              </w:rPr>
              <w:t xml:space="preserve">Gift cards</w:t>
            </w:r>
          </w:p>
        </w:tc>
        <w:tc>
          <w:tcPr>
            <w:tcW w:type="dxa" w:w="995"/>
            <w:shd w:fill="E9ED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sz w:val="16"/>
                <w:szCs w:val="16"/>
              </w:rPr>
              <w:t xml:space="preserve">Savings/yield</w:t>
            </w:r>
          </w:p>
        </w:tc>
        <w:tc>
          <w:tcPr>
            <w:tcW w:type="dxa" w:w="995"/>
            <w:shd w:fill="E9ED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sz w:val="16"/>
                <w:szCs w:val="16"/>
              </w:rPr>
              <w:t xml:space="preserve">Proof-of-reserves</w:t>
            </w:r>
          </w:p>
        </w:tc>
        <w:tc>
          <w:tcPr>
            <w:tcW w:type="dxa" w:w="995"/>
            <w:shd w:fill="E9ED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sz w:val="16"/>
                <w:szCs w:val="16"/>
              </w:rPr>
              <w:t xml:space="preserve">Naira rails</w:t>
            </w:r>
          </w:p>
        </w:tc>
        <w:tc>
          <w:tcPr>
            <w:tcW w:type="dxa" w:w="1001"/>
            <w:shd w:fill="E9ED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sz w:val="16"/>
                <w:szCs w:val="16"/>
              </w:rPr>
              <w:t xml:space="preserve">Published fees</w:t>
            </w:r>
          </w:p>
        </w:tc>
      </w:tr>
      <w:tr>
        <w:trPr>
          <w:tblHeader w:val="false"/>
        </w:trPr>
        <w:tc>
          <w:tcPr>
            <w:tcW w:type="dxa" w:w="1394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Busha</w:t>
            </w:r>
          </w:p>
        </w:tc>
        <w:tc>
          <w:tcPr>
            <w:tcW w:type="dxa" w:w="995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Provisional (AIP, Aug 2024)</w:t>
            </w:r>
          </w:p>
        </w:tc>
        <w:tc>
          <w:tcPr>
            <w:tcW w:type="dxa" w:w="995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Yes</w:t>
            </w:r>
          </w:p>
        </w:tc>
        <w:tc>
          <w:tcPr>
            <w:tcW w:type="dxa" w:w="995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995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995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Yes (up to 10% APY)</w:t>
            </w:r>
          </w:p>
        </w:tc>
        <w:tc>
          <w:tcPr>
            <w:tcW w:type="dxa" w:w="995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995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Yes</w:t>
            </w:r>
          </w:p>
        </w:tc>
        <w:tc>
          <w:tcPr>
            <w:tcW w:type="dxa" w:w="1001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Partial (fees page 404)</w:t>
            </w:r>
          </w:p>
        </w:tc>
      </w:tr>
      <w:tr>
        <w:trPr>
          <w:tblHeader w:val="false"/>
        </w:trPr>
        <w:tc>
          <w:tcPr>
            <w:tcW w:type="dxa" w:w="1394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Quidax</w:t>
            </w:r>
          </w:p>
        </w:tc>
        <w:tc>
          <w:tcPr>
            <w:tcW w:type="dxa" w:w="995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Provisional (AIP, Aug 2024)</w:t>
            </w:r>
          </w:p>
        </w:tc>
        <w:tc>
          <w:tcPr>
            <w:tcW w:type="dxa" w:w="995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Yes (0.1%; 0% swap)</w:t>
            </w:r>
          </w:p>
        </w:tc>
        <w:tc>
          <w:tcPr>
            <w:tcW w:type="dxa" w:w="995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995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995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995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995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Yes (₦100/₦200)</w:t>
            </w:r>
          </w:p>
        </w:tc>
        <w:tc>
          <w:tcPr>
            <w:tcW w:type="dxa" w:w="1001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Yes</w:t>
            </w:r>
          </w:p>
        </w:tc>
      </w:tr>
      <w:tr>
        <w:trPr>
          <w:tblHeader w:val="false"/>
        </w:trPr>
        <w:tc>
          <w:tcPr>
            <w:tcW w:type="dxa" w:w="1394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Roqqu</w:t>
            </w:r>
          </w:p>
        </w:tc>
        <w:tc>
          <w:tcPr>
            <w:tcW w:type="dxa" w:w="995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None (EU VASP licence)</w:t>
            </w:r>
          </w:p>
        </w:tc>
        <w:tc>
          <w:tcPr>
            <w:tcW w:type="dxa" w:w="995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Yes</w:t>
            </w:r>
          </w:p>
        </w:tc>
        <w:tc>
          <w:tcPr>
            <w:tcW w:type="dxa" w:w="995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Yes (in-app)</w:t>
            </w:r>
          </w:p>
        </w:tc>
        <w:tc>
          <w:tcPr>
            <w:tcW w:type="dxa" w:w="995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995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995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995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Yes</w:t>
            </w:r>
          </w:p>
        </w:tc>
        <w:tc>
          <w:tcPr>
            <w:tcW w:type="dxa" w:w="1001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Partial</w:t>
            </w:r>
          </w:p>
        </w:tc>
      </w:tr>
      <w:tr>
        <w:trPr>
          <w:tblHeader w:val="false"/>
        </w:trPr>
        <w:tc>
          <w:tcPr>
            <w:tcW w:type="dxa" w:w="1394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Luno</w:t>
            </w:r>
          </w:p>
        </w:tc>
        <w:tc>
          <w:tcPr>
            <w:tcW w:type="dxa" w:w="995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AIP cohort (Jul 2026)</w:t>
            </w:r>
          </w:p>
        </w:tc>
        <w:tc>
          <w:tcPr>
            <w:tcW w:type="dxa" w:w="995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Yes (0%/0.1%)</w:t>
            </w:r>
          </w:p>
        </w:tc>
        <w:tc>
          <w:tcPr>
            <w:tcW w:type="dxa" w:w="995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995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995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Staking/interest</w:t>
            </w:r>
          </w:p>
        </w:tc>
        <w:tc>
          <w:tcPr>
            <w:tcW w:type="dxa" w:w="995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Yes — monthly (only one in Africa)</w:t>
            </w:r>
          </w:p>
        </w:tc>
        <w:tc>
          <w:tcPr>
            <w:tcW w:type="dxa" w:w="995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Yes (2% dep, 2%+₦50 wdl)</w:t>
            </w:r>
          </w:p>
        </w:tc>
        <w:tc>
          <w:tcPr>
            <w:tcW w:type="dxa" w:w="1001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Yes (full)</w:t>
            </w:r>
          </w:p>
        </w:tc>
      </w:tr>
      <w:tr>
        <w:trPr>
          <w:tblHeader w:val="false"/>
        </w:trPr>
        <w:tc>
          <w:tcPr>
            <w:tcW w:type="dxa" w:w="1394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Yellow Card</w:t>
            </w:r>
          </w:p>
        </w:tc>
        <w:tc>
          <w:tcPr>
            <w:tcW w:type="dxa" w:w="995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B2B only — retail closed Jan 2026</w:t>
            </w:r>
          </w:p>
        </w:tc>
        <w:tc>
          <w:tcPr>
            <w:tcW w:type="dxa" w:w="995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B2B API</w:t>
            </w:r>
          </w:p>
        </w:tc>
        <w:tc>
          <w:tcPr>
            <w:tcW w:type="dxa" w:w="995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995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995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995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995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B2B only</w:t>
            </w:r>
          </w:p>
        </w:tc>
        <w:tc>
          <w:tcPr>
            <w:tcW w:type="dxa" w:w="1001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Spread-based</w:t>
            </w:r>
          </w:p>
        </w:tc>
      </w:tr>
      <w:tr>
        <w:trPr>
          <w:tblHeader w:val="false"/>
        </w:trPr>
        <w:tc>
          <w:tcPr>
            <w:tcW w:type="dxa" w:w="1394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Binance (P2P)</w:t>
            </w:r>
          </w:p>
        </w:tc>
        <w:tc>
          <w:tcPr>
            <w:tcW w:type="dxa" w:w="995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Banned; ISP-blocked; $81.5B suit</w:t>
            </w:r>
          </w:p>
        </w:tc>
        <w:tc>
          <w:tcPr>
            <w:tcW w:type="dxa" w:w="995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Crypto-to-crypto only</w:t>
            </w:r>
          </w:p>
        </w:tc>
        <w:tc>
          <w:tcPr>
            <w:tcW w:type="dxa" w:w="995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995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Global marketplace</w:t>
            </w:r>
          </w:p>
        </w:tc>
        <w:tc>
          <w:tcPr>
            <w:tcW w:type="dxa" w:w="995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Global</w:t>
            </w:r>
          </w:p>
        </w:tc>
        <w:tc>
          <w:tcPr>
            <w:tcW w:type="dxa" w:w="995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Partial (global)</w:t>
            </w:r>
          </w:p>
        </w:tc>
        <w:tc>
          <w:tcPr>
            <w:tcW w:type="dxa" w:w="995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None since Mar 2024</w:t>
            </w:r>
          </w:p>
        </w:tc>
        <w:tc>
          <w:tcPr>
            <w:tcW w:type="dxa" w:w="1001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Yes (0.1%)</w:t>
            </w:r>
          </w:p>
        </w:tc>
      </w:tr>
      <w:tr>
        <w:trPr>
          <w:tblHeader w:val="false"/>
        </w:trPr>
        <w:tc>
          <w:tcPr>
            <w:tcW w:type="dxa" w:w="1394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Cardtonic</w:t>
            </w:r>
          </w:p>
        </w:tc>
        <w:tc>
          <w:tcPr>
            <w:tcW w:type="dxa" w:w="995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N/A (gift cards)</w:t>
            </w:r>
          </w:p>
        </w:tc>
        <w:tc>
          <w:tcPr>
            <w:tcW w:type="dxa" w:w="995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Secondary</w:t>
            </w:r>
          </w:p>
        </w:tc>
        <w:tc>
          <w:tcPr>
            <w:tcW w:type="dxa" w:w="995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Yes</w:t>
            </w:r>
          </w:p>
        </w:tc>
        <w:tc>
          <w:tcPr>
            <w:tcW w:type="dxa" w:w="995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Core (75–92% of face)</w:t>
            </w:r>
          </w:p>
        </w:tc>
        <w:tc>
          <w:tcPr>
            <w:tcW w:type="dxa" w:w="995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995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995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Yes</w:t>
            </w:r>
          </w:p>
        </w:tc>
        <w:tc>
          <w:tcPr>
            <w:tcW w:type="dxa" w:w="1001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Rate calculator</w:t>
            </w:r>
          </w:p>
        </w:tc>
      </w:tr>
      <w:tr>
        <w:trPr>
          <w:tblHeader w:val="false"/>
        </w:trPr>
        <w:tc>
          <w:tcPr>
            <w:tcW w:type="dxa" w:w="1394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Prestmit</w:t>
            </w:r>
          </w:p>
        </w:tc>
        <w:tc>
          <w:tcPr>
            <w:tcW w:type="dxa" w:w="995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N/A (gift cards)</w:t>
            </w:r>
          </w:p>
        </w:tc>
        <w:tc>
          <w:tcPr>
            <w:tcW w:type="dxa" w:w="995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Secondary</w:t>
            </w:r>
          </w:p>
        </w:tc>
        <w:tc>
          <w:tcPr>
            <w:tcW w:type="dxa" w:w="995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Yes (airtime/data)</w:t>
            </w:r>
          </w:p>
        </w:tc>
        <w:tc>
          <w:tcPr>
            <w:tcW w:type="dxa" w:w="995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Core</w:t>
            </w:r>
          </w:p>
        </w:tc>
        <w:tc>
          <w:tcPr>
            <w:tcW w:type="dxa" w:w="995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995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995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Yes</w:t>
            </w:r>
          </w:p>
        </w:tc>
        <w:tc>
          <w:tcPr>
            <w:tcW w:type="dxa" w:w="1001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Rates published</w:t>
            </w:r>
          </w:p>
        </w:tc>
      </w:tr>
      <w:tr>
        <w:trPr>
          <w:tblHeader w:val="false"/>
        </w:trPr>
        <w:tc>
          <w:tcPr>
            <w:tcW w:type="dxa" w:w="1394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Lentopay (planned)</w:t>
            </w:r>
          </w:p>
        </w:tc>
        <w:tc>
          <w:tcPr>
            <w:tcW w:type="dxa" w:w="995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ARIP track</w:t>
            </w:r>
          </w:p>
        </w:tc>
        <w:tc>
          <w:tcPr>
            <w:tcW w:type="dxa" w:w="995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Yes (licensed)</w:t>
            </w:r>
          </w:p>
        </w:tc>
        <w:tc>
          <w:tcPr>
            <w:tcW w:type="dxa" w:w="995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Yes + cashback</w:t>
            </w:r>
          </w:p>
        </w:tc>
        <w:tc>
          <w:tcPr>
            <w:tcW w:type="dxa" w:w="995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Yes (licensed, KYC-hard)</w:t>
            </w:r>
          </w:p>
        </w:tc>
        <w:tc>
          <w:tcPr>
            <w:tcW w:type="dxa" w:w="995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Phase 2–3 (licensed)</w:t>
            </w:r>
          </w:p>
        </w:tc>
        <w:tc>
          <w:tcPr>
            <w:tcW w:type="dxa" w:w="995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Monthly from day one</w:t>
            </w:r>
          </w:p>
        </w:tc>
        <w:tc>
          <w:tcPr>
            <w:tcW w:type="dxa" w:w="995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Instant, SLA-backed</w:t>
            </w:r>
          </w:p>
        </w:tc>
        <w:tc>
          <w:tcPr>
            <w:tcW w:type="dxa" w:w="1001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Full, incl. live spread</w:t>
            </w:r>
          </w:p>
        </w:tc>
      </w:tr>
    </w:tbl>
    <w:p>
      <w:pPr>
        <w:spacing w:after="120"/>
      </w:pPr>
      <w:r>
        <w:rPr>
          <w:sz w:val="12"/>
          <w:szCs w:val="12"/>
        </w:rPr>
        <w:t xml:space="preserve"/>
      </w:r>
    </w:p>
    <w:p>
      <w:pPr>
        <w:spacing w:after="120" w:line="276"/>
      </w:pPr>
      <w:r>
        <w:rPr>
          <w:sz w:val="22"/>
          <w:szCs w:val="22"/>
        </w:rPr>
        <w:t xml:space="preserve">Sources: competitor teardown research file; per-platform citations [31][32][33][34][35][36][37][40][41][42].</w:t>
      </w:r>
    </w:p>
    <w:p>
      <w:pPr>
        <w:pStyle w:val="Heading2"/>
      </w:pPr>
      <w:r>
        <w:t xml:space="preserve">4.2 Weakness analysis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  <w:sz w:val="22"/>
          <w:szCs w:val="22"/>
        </w:rPr>
        <w:t xml:space="preserve">Busha</w:t>
      </w:r>
      <w:r>
        <w:rPr>
          <w:sz w:val="22"/>
          <w:szCs w:val="22"/>
        </w:rPr>
        <w:t xml:space="preserve"> (800k+ users, ~10% monthly active; AIP holder [31]): no bills, no gift cards, no PoR, and its public fee page returned 404 at research time — an opacity gap a transparent entrant can exploit.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  <w:sz w:val="22"/>
          <w:szCs w:val="22"/>
        </w:rPr>
        <w:t xml:space="preserve">Quidax</w:t>
      </w:r>
      <w:r>
        <w:rPr>
          <w:sz w:val="22"/>
          <w:szCs w:val="22"/>
        </w:rPr>
        <w:t xml:space="preserve"> (1M+ users; first AIP [32]): clean pricing (0.1%, ₦100/₦200) but a narrow product — no bills, gift cards, yield, or card; its P2P product lasted ~5 months before shutdown (Jan 2026), evidence that convenience beats P2P once legal naira rails exist.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  <w:sz w:val="22"/>
          <w:szCs w:val="22"/>
        </w:rPr>
        <w:t xml:space="preserve">Roqqu</w:t>
      </w:r>
      <w:r>
        <w:rPr>
          <w:sz w:val="22"/>
          <w:szCs w:val="22"/>
        </w:rPr>
        <w:t xml:space="preserve"> (1.4M+ users, self-reported [33]): mass-retail brand with bills in-app, but no Nigerian SEC licence, and the sector's worst complaint profile — withdrawals not arriving, verification stuck for months, accounts frozen with funds inside, support via X/Twitter DMs (Trustpilot, 2024–2026) [52].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  <w:sz w:val="22"/>
          <w:szCs w:val="22"/>
        </w:rPr>
        <w:t xml:space="preserve">Luno</w:t>
      </w:r>
      <w:r>
        <w:rPr>
          <w:sz w:val="22"/>
          <w:szCs w:val="22"/>
        </w:rPr>
        <w:t xml:space="preserve">: the trust leader (monthly Merkle-tree PoR attested by Moore Johannesburg [37]) and now in the July 2026 AIP cohort [20] — but charges 2% on naira deposits and 2%+₦50 on withdrawals with 1–3 day payouts [36], and has no local engagement loops (bills/gift cards).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  <w:sz w:val="22"/>
          <w:szCs w:val="22"/>
        </w:rPr>
        <w:t xml:space="preserve">Yellow Card</w:t>
      </w:r>
      <w:r>
        <w:rPr>
          <w:sz w:val="22"/>
          <w:szCs w:val="22"/>
        </w:rPr>
        <w:t xml:space="preserve">: $85M raised, then exited retail entirely (Jan 2026), citing compliance exposure and unit economics [34][35]. Read correctly, this says retail is winnable but must be run lean and compliant — not that retail is dead: Obiex is profitable on $731M processed [38].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  <w:sz w:val="22"/>
          <w:szCs w:val="22"/>
        </w:rPr>
        <w:t xml:space="preserve">Binance/Bybit/OKX (the ~90%)</w:t>
      </w:r>
      <w:r>
        <w:rPr>
          <w:sz w:val="22"/>
          <w:szCs w:val="22"/>
        </w:rPr>
        <w:t xml:space="preserve">: deepest liquidity, but no naira rails since March 2024, ISP blocking, legal jeopardy, and zero local recourse [25][39]. Their Nigerian users are the single largest acquisition pool in the market.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  <w:sz w:val="22"/>
          <w:szCs w:val="22"/>
        </w:rPr>
        <w:t xml:space="preserve">Cardtonic/Prestmit</w:t>
      </w:r>
      <w:r>
        <w:rPr>
          <w:sz w:val="22"/>
          <w:szCs w:val="22"/>
        </w:rPr>
        <w:t xml:space="preserve"> (1.5M+ / 800k+ users [40][41]): proven gift-card demand and fast payouts, but shallow unlicensed crypto and no order book — vulnerable to being pulled up-market by a licensed wallet with equal gift-card rates.</w:t>
      </w:r>
    </w:p>
    <w:p>
      <w:pPr>
        <w:pStyle w:val="Heading2"/>
      </w:pPr>
      <w:r>
        <w:t xml:space="preserve">4.3 The whitespace</w:t>
      </w:r>
    </w:p>
    <w:p>
      <w:pPr>
        <w:spacing w:after="120" w:line="276"/>
      </w:pPr>
      <w:r>
        <w:rPr>
          <w:b/>
          <w:bCs/>
          <w:sz w:val="22"/>
          <w:szCs w:val="22"/>
        </w:rPr>
        <w:t xml:space="preserve">Nobody at the licensed tier unifies crypto + bills + gift cards + savings.</w:t>
      </w:r>
      <w:r>
        <w:rPr>
          <w:sz w:val="22"/>
          <w:szCs w:val="22"/>
        </w:rPr>
        <w:t xml:space="preserve"> Exchanges don't do bills or gift cards; gift-card apps don't do licensed crypto; the best-funded retail player left the field. Three secondary gaps compound the opportunity: (1) naira off-ramp reliability is the #1 complaint theme in the market [52]; (2) proof-of-reserves is near-vacant — only Luno publishes it [37]; (3) "zero-fee" players hide their economics in undisclosed spreads, and no competitor publishes a live status/withdrawal-latency dashboard (high-confidence gap; absence verified via search). Lentopay's PRD bundle, executed under an SEC licence with these three trust features, has no direct competitor.</w:t>
      </w:r>
    </w:p>
    <w:p>
      <w:pPr>
        <w:pStyle w:val="Heading1"/>
        <w:pageBreakBefore/>
      </w:pPr>
      <w:r>
        <w:t xml:space="preserve">5. Positioning &amp; Differentiation</w:t>
      </w:r>
    </w:p>
    <w:p>
      <w:pPr>
        <w:pStyle w:val="Heading2"/>
      </w:pPr>
      <w:r>
        <w:t xml:space="preserve">5.1 Positioning statement</w:t>
      </w:r>
    </w:p>
    <w:p>
      <w:pPr>
        <w:spacing w:after="120" w:line="276"/>
      </w:pPr>
      <w:r>
        <w:rPr>
          <w:b/>
          <w:bCs/>
          <w:sz w:val="22"/>
          <w:szCs w:val="22"/>
        </w:rPr>
        <w:t xml:space="preserve">For young Nigerians who earn, save and pay in an economy where the naira loses value faster than salaries rise, Lentopay Exchange is the SEC-licensed everyday-money app that combines global-exchange pricing with instant, guaranteed naira rails and daily utility — bills, gift cards, savings — unlike offshore exchanges with no naira ramp or recourse, and unlike single-purpose local apps that make you choose between a licence and usefulness.</w:t>
      </w:r>
    </w:p>
    <w:p>
      <w:pPr>
        <w:spacing w:after="120" w:line="276"/>
      </w:pPr>
      <w:r>
        <w:rPr>
          <w:sz w:val="22"/>
          <w:szCs w:val="22"/>
        </w:rPr>
        <w:t xml:space="preserve">Campaign wedge (Binance/Bybit refugees, the ~90% [39]): </w:t>
      </w:r>
      <w:r>
        <w:rPr>
          <w:i/>
          <w:iCs/>
          <w:sz w:val="22"/>
          <w:szCs w:val="22"/>
        </w:rPr>
        <w:t xml:space="preserve">"Global prices. Licensed naira rails. No P2P scams. No frozen transfers."</w:t>
      </w:r>
      <w:r>
        <w:rPr>
          <w:sz w:val="22"/>
          <w:szCs w:val="22"/>
        </w:rPr>
        <w:t xml:space="preserve"> Voice per brand spec: confident, warm, direct; no officialese, no jargon; tell users exactly what happens next and when.</w:t>
      </w:r>
    </w:p>
    <w:p>
      <w:pPr>
        <w:pStyle w:val="Heading2"/>
      </w:pPr>
      <w:r>
        <w:t xml:space="preserve">5.2 Three differentiation plays</w:t>
      </w:r>
    </w:p>
    <w:p>
      <w:pPr>
        <w:spacing w:after="120" w:line="276"/>
      </w:pPr>
      <w:r>
        <w:rPr>
          <w:b/>
          <w:bCs/>
          <w:sz w:val="22"/>
          <w:szCs w:val="22"/>
        </w:rPr>
        <w:t xml:space="preserve">Play 1 — Off-ramp SLA with a live status page.</w:t>
      </w:r>
      <w:r>
        <w:rPr>
          <w:sz w:val="22"/>
          <w:szCs w:val="22"/>
        </w:rPr>
        <w:t xml:space="preserve"> Withdrawal failure is the market's #1 one-star theme (Roqqu: funds not arriving, accounts frozen; Luno: 1–3 day waits) [52][36]. Lentopay commits publicly: "95% of naira withdrawals in under 5 minutes — tracked live at status.lentopay.com," with a published escalation guarantee (human decision on any frozen-funds case within 48 hours). No Nigerian competitor publishes a withdrawal-latency dashboard. This converts the sector's biggest liability into Lentopay's headline feature — and it is honest marketing only if engineered for: multiple settlement partners, retries, and success-rate monitoring (PalmPay's 99.5% success-rate positioning shows reliability itself is a marketable feature [44]).</w:t>
      </w:r>
    </w:p>
    <w:p>
      <w:pPr>
        <w:spacing w:after="120" w:line="276"/>
      </w:pPr>
      <w:r>
        <w:rPr>
          <w:b/>
          <w:bCs/>
          <w:sz w:val="22"/>
          <w:szCs w:val="22"/>
        </w:rPr>
        <w:t xml:space="preserve">Play 2 — Monthly proof-of-reserves from day one.</w:t>
      </w:r>
      <w:r>
        <w:rPr>
          <w:sz w:val="22"/>
          <w:szCs w:val="22"/>
        </w:rPr>
        <w:t xml:space="preserve"> After FTX (100,000+ African customers hit [48]), Patricia (~$2M breach, then customer balances force-converted to an IOU token [47]) and CBEX (200,000+ victims, Apr 2025 [46]), custody trust is the scarcest asset in Nigerian crypto. Only Luno publishes monthly Merkle-tree PoR in Africa [37]; no Nigerian-born exchange does. Lentopay adopts the Luno/Moore model from launch — monthly third-party attestation, regulated custody (Fireblocks/BitGo, or SEC-licensed Blockvault locally), segregated customer assets, no platform token, immediate breach disclosure (NDPA mandates 72h anyway [26]). Cheap, loud, durable.</w:t>
      </w:r>
    </w:p>
    <w:p>
      <w:pPr>
        <w:spacing w:after="120" w:line="276"/>
      </w:pPr>
      <w:r>
        <w:rPr>
          <w:b/>
          <w:bCs/>
          <w:sz w:val="22"/>
          <w:szCs w:val="22"/>
        </w:rPr>
        <w:t xml:space="preserve">Play 3 — Bills-first engagement loop with cashback.</w:t>
      </w:r>
      <w:r>
        <w:rPr>
          <w:sz w:val="22"/>
          <w:szCs w:val="22"/>
        </w:rPr>
        <w:t xml:space="preserve"> Airtime is Nigeria's highest-frequency purchase, and PalmPay's coupon/points system around airtime/bills is the proven daily-active driver (up to 20% promo cashback; OPay ~3% persistent) [55][44]. Lentopay puts airtime/data/electricity/TV one tap from home, funded by crypto balances, with 1–3% cashback paid from the 3–3.5% VTU wholesale margin [51] — structurally funded, not subsidy-burned. Weekly bill streaks add habit mechanics. This attacks the endemic failure mode of Nigerian fintech — 3 in 5 accounts dormant [45] — and no licensed crypto app has it.</w:t>
      </w:r>
    </w:p>
    <w:p>
      <w:pPr>
        <w:pStyle w:val="Heading2"/>
      </w:pPr>
      <w:r>
        <w:t xml:space="preserve">5.3 Trust strategy post-CBEX</w:t>
      </w:r>
    </w:p>
    <w:p>
      <w:pPr>
        <w:spacing w:after="120" w:line="276"/>
      </w:pPr>
      <w:r>
        <w:rPr>
          <w:sz w:val="22"/>
          <w:szCs w:val="22"/>
        </w:rPr>
        <w:t xml:space="preserve">CBEX's April 2025 collapse (100% ROI in 30 days; 200k+ victims; loss claims up to ₦1.3 trillion) made "investment returns" radioactive language and gave the SEC statutory teeth — ISA 2025's 10-year/₦40M Ponzi provisions [46][15]. Lentopay's trust posture: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  <w:sz w:val="22"/>
          <w:szCs w:val="22"/>
        </w:rPr>
        <w:t xml:space="preserve">Compliance as brand:</w:t>
      </w:r>
      <w:r>
        <w:rPr>
          <w:sz w:val="22"/>
          <w:szCs w:val="22"/>
        </w:rPr>
        <w:t xml:space="preserve"> "SEC-licensed. FIRS-reporting. NDPC-registered." in the footer of every screen — a marketable differentiator against offshore apps in 2026, per the brand spec's trust-signal guidance.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  <w:sz w:val="22"/>
          <w:szCs w:val="22"/>
        </w:rPr>
        <w:t xml:space="preserve">Anti-CBEX marketing rules:</w:t>
      </w:r>
      <w:r>
        <w:rPr>
          <w:sz w:val="22"/>
          <w:szCs w:val="22"/>
        </w:rPr>
        <w:t xml:space="preserve"> never "guaranteed," never fixed-return promises, always disclose yield source, conservative APYs (6–8%, deliberately below Busha's 10% headline), PiggyVest-style locks and targets for familiarity.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  <w:sz w:val="22"/>
          <w:szCs w:val="22"/>
        </w:rPr>
        <w:t xml:space="preserve">Radical price transparency:</w:t>
      </w:r>
      <w:r>
        <w:rPr>
          <w:sz w:val="22"/>
          <w:szCs w:val="22"/>
        </w:rPr>
        <w:t xml:space="preserve"> live spread displayed on every swap quote; a fee page that never 404s; all-in cost comparison vs. P2P street rates.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  <w:sz w:val="22"/>
          <w:szCs w:val="22"/>
        </w:rPr>
        <w:t xml:space="preserve">Fraud ops as a core function:</w:t>
      </w:r>
      <w:r>
        <w:rPr>
          <w:sz w:val="22"/>
          <w:szCs w:val="22"/>
        </w:rPr>
        <w:t xml:space="preserve"> social engineering is Nigeria's #1 fraud vector (NIBSS: ₦25.85B losses in 2025, down 51% [49]); CBN now debits receiving institutions for fraud proceeds. BVN+NIN+selfie KYC (Smile ID/Dojah), device binding, withdrawal cool-downs on new payees, and settlement delays on gift cards are table stakes, not friction.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  <w:sz w:val="22"/>
          <w:szCs w:val="22"/>
        </w:rPr>
        <w:t xml:space="preserve">Support as product:</w:t>
      </w:r>
      <w:r>
        <w:rPr>
          <w:sz w:val="22"/>
          <w:szCs w:val="22"/>
        </w:rPr>
        <w:t xml:space="preserve"> in-app tickets with published response SLAs plus a 24/7 WhatsApp line — every major competitor routes complaints to X/Twitter DMs [52].</w:t>
      </w:r>
    </w:p>
    <w:p>
      <w:pPr>
        <w:pStyle w:val="Heading1"/>
        <w:pageBreakBefore/>
      </w:pPr>
      <w:r>
        <w:t xml:space="preserve">6. Monetization Model</w:t>
      </w:r>
    </w:p>
    <w:p>
      <w:pPr>
        <w:pStyle w:val="Heading2"/>
      </w:pPr>
      <w:r>
        <w:t xml:space="preserve">6.1 Recommended fee schedule</w:t>
      </w:r>
    </w:p>
    <w:p>
      <w:pPr>
        <w:spacing w:after="120" w:line="276"/>
      </w:pPr>
      <w:r>
        <w:rPr>
          <w:sz w:val="22"/>
          <w:szCs w:val="22"/>
        </w:rPr>
        <w:t xml:space="preserve">Principle: </w:t>
      </w:r>
      <w:r>
        <w:rPr>
          <w:i/>
          <w:iCs/>
          <w:sz w:val="22"/>
          <w:szCs w:val="22"/>
        </w:rPr>
        <w:t xml:space="preserve">price like Quidax, disclose like nobody else.</w:t>
      </w:r>
      <w:r>
        <w:rPr>
          <w:sz w:val="22"/>
          <w:szCs w:val="22"/>
        </w:rPr>
        <w:t xml:space="preserve"> Never copy Luno's 2% fiat toll; never hide the spread like Obiex/Yellow Card.</w:t>
      </w:r>
    </w:p>
    <w:tbl>
      <w:tblPr>
        <w:tblW w:type="dxa" w:w="936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E9ED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sz w:val="20"/>
                <w:szCs w:val="20"/>
              </w:rPr>
              <w:t xml:space="preserve">Revenue line</w:t>
            </w:r>
          </w:p>
        </w:tc>
        <w:tc>
          <w:tcPr>
            <w:tcW w:type="dxa" w:w="2340"/>
            <w:shd w:fill="E9ED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sz w:val="20"/>
                <w:szCs w:val="20"/>
              </w:rPr>
              <w:t xml:space="preserve">Lentopay price</w:t>
            </w:r>
          </w:p>
        </w:tc>
        <w:tc>
          <w:tcPr>
            <w:tcW w:type="dxa" w:w="2340"/>
            <w:shd w:fill="E9ED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sz w:val="20"/>
                <w:szCs w:val="20"/>
              </w:rPr>
              <w:t xml:space="preserve">Benchmark anchor</w:t>
            </w:r>
          </w:p>
        </w:tc>
        <w:tc>
          <w:tcPr>
            <w:tcW w:type="dxa" w:w="2340"/>
            <w:shd w:fill="E9ED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sz w:val="20"/>
                <w:szCs w:val="20"/>
              </w:rPr>
              <w:t xml:space="preserve">Notes</w:t>
            </w:r>
          </w:p>
        </w:tc>
      </w:tr>
      <w:tr>
        <w:trPr>
          <w:tblHeader w:val="false"/>
        </w:trPr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sz w:val="20"/>
                <w:szCs w:val="20"/>
              </w:rPr>
              <w:t xml:space="preserve">Spot order book (maker/taker)</w:t>
            </w:r>
          </w:p>
        </w:tc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sz w:val="20"/>
                <w:szCs w:val="20"/>
              </w:rPr>
              <w:t xml:space="preserve">0.1% flat</w:t>
            </w:r>
          </w:p>
        </w:tc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sz w:val="20"/>
                <w:szCs w:val="20"/>
              </w:rPr>
              <w:t xml:space="preserve">Quidax 0.1%; Luno 0%/0.1% [32][36]</w:t>
            </w:r>
          </w:p>
        </w:tc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sz w:val="20"/>
                <w:szCs w:val="20"/>
              </w:rPr>
              <w:t xml:space="preserve">Parity pricing; volume tiers later</w:t>
            </w:r>
          </w:p>
        </w:tc>
      </w:tr>
      <w:tr>
        <w:trPr>
          <w:tblHeader w:val="false"/>
        </w:trPr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sz w:val="20"/>
                <w:szCs w:val="20"/>
              </w:rPr>
              <w:t xml:space="preserve">Instant swap / buy-sell spread</w:t>
            </w:r>
          </w:p>
        </w:tc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sz w:val="20"/>
                <w:szCs w:val="20"/>
              </w:rPr>
              <w:t xml:space="preserve">0.5–1.0% all-in, displayed live on quote</w:t>
            </w:r>
          </w:p>
        </w:tc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sz w:val="20"/>
                <w:szCs w:val="20"/>
              </w:rPr>
              <w:t xml:space="preserve">Luno 0–0.4% tiered; Obiex/Yellow Card undisclosed spread [36][38][34]</w:t>
            </w:r>
          </w:p>
        </w:tc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sz w:val="20"/>
                <w:szCs w:val="20"/>
              </w:rPr>
              <w:t xml:space="preserve">Must beat P2P street spread to convert refugees; display is the differentiator</w:t>
            </w:r>
          </w:p>
        </w:tc>
      </w:tr>
      <w:tr>
        <w:trPr>
          <w:tblHeader w:val="false"/>
        </w:trPr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sz w:val="20"/>
                <w:szCs w:val="20"/>
              </w:rPr>
              <w:t xml:space="preserve">Naira deposit</w:t>
            </w:r>
          </w:p>
        </w:tc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sz w:val="20"/>
                <w:szCs w:val="20"/>
              </w:rPr>
              <w:t xml:space="preserve">₦100 flat</w:t>
            </w:r>
          </w:p>
        </w:tc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sz w:val="20"/>
                <w:szCs w:val="20"/>
              </w:rPr>
              <w:t xml:space="preserve">Quidax ₦100 [32]</w:t>
            </w:r>
          </w:p>
        </w:tc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sz w:val="20"/>
                <w:szCs w:val="20"/>
              </w:rPr>
              <w:t xml:space="preserve">Never percentage-based</w:t>
            </w:r>
          </w:p>
        </w:tc>
      </w:tr>
      <w:tr>
        <w:trPr>
          <w:tblHeader w:val="false"/>
        </w:trPr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sz w:val="20"/>
                <w:szCs w:val="20"/>
              </w:rPr>
              <w:t xml:space="preserve">Naira withdrawal</w:t>
            </w:r>
          </w:p>
        </w:tc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sz w:val="20"/>
                <w:szCs w:val="20"/>
              </w:rPr>
              <w:t xml:space="preserve">₦200 flat, instant</w:t>
            </w:r>
          </w:p>
        </w:tc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sz w:val="20"/>
                <w:szCs w:val="20"/>
              </w:rPr>
              <w:t xml:space="preserve">Quidax ₦200; Luno 2%+₦50 [32][36]</w:t>
            </w:r>
          </w:p>
        </w:tc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sz w:val="20"/>
                <w:szCs w:val="20"/>
              </w:rPr>
              <w:t xml:space="preserve">Funds the SLA infrastructure</w:t>
            </w:r>
          </w:p>
        </w:tc>
      </w:tr>
      <w:tr>
        <w:trPr>
          <w:tblHeader w:val="false"/>
        </w:trPr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sz w:val="20"/>
                <w:szCs w:val="20"/>
              </w:rPr>
              <w:t xml:space="preserve">Gift card margin</w:t>
            </w:r>
          </w:p>
        </w:tc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sz w:val="20"/>
                <w:szCs w:val="20"/>
              </w:rPr>
              <w:t xml:space="preserve">2–4% net of the 8–25% gross discount pool</w:t>
            </w:r>
          </w:p>
        </w:tc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sz w:val="20"/>
                <w:szCs w:val="20"/>
              </w:rPr>
              <w:t xml:space="preserve">Cards trade at 75–92% of face; platform net take undisclosed market-wide [42][29]</w:t>
            </w:r>
          </w:p>
        </w:tc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sz w:val="20"/>
                <w:szCs w:val="20"/>
              </w:rPr>
              <w:t xml:space="preserve">Rate-calculator transparency as wedge</w:t>
            </w:r>
          </w:p>
        </w:tc>
      </w:tr>
      <w:tr>
        <w:trPr>
          <w:tblHeader w:val="false"/>
        </w:trPr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sz w:val="20"/>
                <w:szCs w:val="20"/>
              </w:rPr>
              <w:t xml:space="preserve">Bills/VTU margin</w:t>
            </w:r>
          </w:p>
        </w:tc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sz w:val="20"/>
                <w:szCs w:val="20"/>
              </w:rPr>
              <w:t xml:space="preserve">1.5–3% gross; ~1% returned as cashback</w:t>
            </w:r>
          </w:p>
        </w:tc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sz w:val="20"/>
                <w:szCs w:val="20"/>
              </w:rPr>
              <w:t xml:space="preserve">Airtime wholesale 3–3.5% typical API rate; data up to 10%; TV/electricity 1–2% [51]</w:t>
            </w:r>
          </w:p>
        </w:tc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sz w:val="20"/>
                <w:szCs w:val="20"/>
              </w:rPr>
              <w:t xml:space="preserve">Cashback structurally funded from margin</w:t>
            </w:r>
          </w:p>
        </w:tc>
      </w:tr>
      <w:tr>
        <w:trPr>
          <w:tblHeader w:val="false"/>
        </w:trPr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sz w:val="20"/>
                <w:szCs w:val="20"/>
              </w:rPr>
              <w:t xml:space="preserve">Savings NIM</w:t>
            </w:r>
          </w:p>
        </w:tc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sz w:val="20"/>
                <w:szCs w:val="20"/>
              </w:rPr>
              <w:t xml:space="preserve">2–4pp spread; pay users 6–8% APY</w:t>
            </w:r>
          </w:p>
        </w:tc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sz w:val="20"/>
                <w:szCs w:val="20"/>
              </w:rPr>
              <w:t xml:space="preserve">Busha pays up to 10% APY on stablecoins; underlying institutional lending/T-bill yields fund the margin [31]</w:t>
            </w:r>
          </w:p>
        </w:tc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sz w:val="20"/>
                <w:szCs w:val="20"/>
              </w:rPr>
              <w:t xml:space="preserve">Phase 2–3, post-approval only</w:t>
            </w:r>
          </w:p>
        </w:tc>
      </w:tr>
      <w:tr>
        <w:trPr>
          <w:tblHeader w:val="false"/>
        </w:trPr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sz w:val="20"/>
                <w:szCs w:val="20"/>
              </w:rPr>
              <w:t xml:space="preserve">Crypto withdrawals</w:t>
            </w:r>
          </w:p>
        </w:tc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sz w:val="20"/>
                <w:szCs w:val="20"/>
              </w:rPr>
              <w:t xml:space="preserve">Network fee + small flat margin</w:t>
            </w:r>
          </w:p>
        </w:tc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sz w:val="20"/>
                <w:szCs w:val="20"/>
              </w:rPr>
              <w:t xml:space="preserve">Market standard</w:t>
            </w:r>
          </w:p>
        </w:tc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sz w:val="20"/>
                <w:szCs w:val="20"/>
              </w:rPr>
              <w:t xml:space="preserve">Free crypto deposits</w:t>
            </w:r>
          </w:p>
        </w:tc>
      </w:tr>
    </w:tbl>
    <w:p>
      <w:pPr>
        <w:spacing w:after="120"/>
      </w:pPr>
      <w:r>
        <w:rPr>
          <w:sz w:val="12"/>
          <w:szCs w:val="12"/>
        </w:rPr>
        <w:t xml:space="preserve"/>
      </w:r>
    </w:p>
    <w:p>
      <w:pPr>
        <w:spacing w:after="120" w:line="276"/>
      </w:pPr>
      <w:r>
        <w:rPr>
          <w:sz w:val="22"/>
          <w:szCs w:val="22"/>
        </w:rPr>
        <w:t xml:space="preserve">Marked as inference where noted: no Nigerian player publishes its full take-rate stack; the schedule above is derived from published benchmark points.</w:t>
      </w:r>
    </w:p>
    <w:p>
      <w:pPr>
        <w:pStyle w:val="Heading2"/>
      </w:pPr>
      <w:r>
        <w:t xml:space="preserve">6.2 Year-1 revenue scenarios</w:t>
      </w:r>
    </w:p>
    <w:p>
      <w:pPr>
        <w:spacing w:after="120" w:line="276"/>
      </w:pPr>
      <w:r>
        <w:rPr>
          <w:sz w:val="22"/>
          <w:szCs w:val="22"/>
        </w:rPr>
        <w:t xml:space="preserve">Assumptions are explicit; all figures are modelling estimates, not forecasts. Naira converted at ₦1,600/$. "Avg MAU" approximates the average across a ramping year (~45–50% of year-end MAU).</w:t>
      </w:r>
    </w:p>
    <w:tbl>
      <w:tblPr>
        <w:tblW w:type="dxa" w:w="936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E9ED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sz w:val="20"/>
                <w:szCs w:val="20"/>
              </w:rPr>
              <w:t xml:space="preserve">Assumption / result</w:t>
            </w:r>
          </w:p>
        </w:tc>
        <w:tc>
          <w:tcPr>
            <w:tcW w:type="dxa" w:w="2340"/>
            <w:shd w:fill="E9ED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sz w:val="20"/>
                <w:szCs w:val="20"/>
              </w:rPr>
              <w:t xml:space="preserve">Conservative</w:t>
            </w:r>
          </w:p>
        </w:tc>
        <w:tc>
          <w:tcPr>
            <w:tcW w:type="dxa" w:w="2340"/>
            <w:shd w:fill="E9ED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sz w:val="20"/>
                <w:szCs w:val="20"/>
              </w:rPr>
              <w:t xml:space="preserve">Base</w:t>
            </w:r>
          </w:p>
        </w:tc>
        <w:tc>
          <w:tcPr>
            <w:tcW w:type="dxa" w:w="2340"/>
            <w:shd w:fill="E9ED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sz w:val="20"/>
                <w:szCs w:val="20"/>
              </w:rPr>
              <w:t xml:space="preserve">Optimistic</w:t>
            </w:r>
          </w:p>
        </w:tc>
      </w:tr>
      <w:tr>
        <w:trPr>
          <w:tblHeader w:val="false"/>
        </w:trPr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sz w:val="20"/>
                <w:szCs w:val="20"/>
              </w:rPr>
              <w:t xml:space="preserve">Registered users (Year-1 end)</w:t>
            </w:r>
          </w:p>
        </w:tc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sz w:val="20"/>
                <w:szCs w:val="20"/>
              </w:rPr>
              <w:t xml:space="preserve">80,000</w:t>
            </w:r>
          </w:p>
        </w:tc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sz w:val="20"/>
                <w:szCs w:val="20"/>
              </w:rPr>
              <w:t xml:space="preserve">150,000</w:t>
            </w:r>
          </w:p>
        </w:tc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sz w:val="20"/>
                <w:szCs w:val="20"/>
              </w:rPr>
              <w:t xml:space="preserve">300,000</w:t>
            </w:r>
          </w:p>
        </w:tc>
      </w:tr>
      <w:tr>
        <w:trPr>
          <w:tblHeader w:val="false"/>
        </w:trPr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sz w:val="20"/>
                <w:szCs w:val="20"/>
              </w:rPr>
              <w:t xml:space="preserve">MAU rate (registered → active)</w:t>
            </w:r>
          </w:p>
        </w:tc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sz w:val="20"/>
                <w:szCs w:val="20"/>
              </w:rPr>
              <w:t xml:space="preserve">10%</w:t>
            </w:r>
          </w:p>
        </w:tc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sz w:val="20"/>
                <w:szCs w:val="20"/>
              </w:rPr>
              <w:t xml:space="preserve">12%</w:t>
            </w:r>
          </w:p>
        </w:tc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sz w:val="20"/>
                <w:szCs w:val="20"/>
              </w:rPr>
              <w:t xml:space="preserve">15%</w:t>
            </w:r>
          </w:p>
        </w:tc>
      </w:tr>
      <w:tr>
        <w:trPr>
          <w:tblHeader w:val="false"/>
        </w:trPr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sz w:val="20"/>
                <w:szCs w:val="20"/>
              </w:rPr>
              <w:t xml:space="preserve">Year-end MAU</w:t>
            </w:r>
          </w:p>
        </w:tc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sz w:val="20"/>
                <w:szCs w:val="20"/>
              </w:rPr>
              <w:t xml:space="preserve">8,000</w:t>
            </w:r>
          </w:p>
        </w:tc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sz w:val="20"/>
                <w:szCs w:val="20"/>
              </w:rPr>
              <w:t xml:space="preserve">18,000</w:t>
            </w:r>
          </w:p>
        </w:tc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sz w:val="20"/>
                <w:szCs w:val="20"/>
              </w:rPr>
              <w:t xml:space="preserve">45,000</w:t>
            </w:r>
          </w:p>
        </w:tc>
      </w:tr>
      <w:tr>
        <w:trPr>
          <w:tblHeader w:val="false"/>
        </w:trPr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sz w:val="20"/>
                <w:szCs w:val="20"/>
              </w:rPr>
              <w:t xml:space="preserve">Average MAU over year</w:t>
            </w:r>
          </w:p>
        </w:tc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sz w:val="20"/>
                <w:szCs w:val="20"/>
              </w:rPr>
              <w:t xml:space="preserve">~4,000</w:t>
            </w:r>
          </w:p>
        </w:tc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sz w:val="20"/>
                <w:szCs w:val="20"/>
              </w:rPr>
              <w:t xml:space="preserve">~9,000</w:t>
            </w:r>
          </w:p>
        </w:tc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sz w:val="20"/>
                <w:szCs w:val="20"/>
              </w:rPr>
              <w:t xml:space="preserve">~21,000</w:t>
            </w:r>
          </w:p>
        </w:tc>
      </w:tr>
      <w:tr>
        <w:trPr>
          <w:tblHeader w:val="false"/>
        </w:trPr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sz w:val="20"/>
                <w:szCs w:val="20"/>
              </w:rPr>
              <w:t xml:space="preserve">Avg monthly trading/swap volume per MAU</w:t>
            </w:r>
          </w:p>
        </w:tc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sz w:val="20"/>
                <w:szCs w:val="20"/>
              </w:rPr>
              <w:t xml:space="preserve">$100</w:t>
            </w:r>
          </w:p>
        </w:tc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sz w:val="20"/>
                <w:szCs w:val="20"/>
              </w:rPr>
              <w:t xml:space="preserve">$150</w:t>
            </w:r>
          </w:p>
        </w:tc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sz w:val="20"/>
                <w:szCs w:val="20"/>
              </w:rPr>
              <w:t xml:space="preserve">$200</w:t>
            </w:r>
          </w:p>
        </w:tc>
      </w:tr>
      <w:tr>
        <w:trPr>
          <w:tblHeader w:val="false"/>
        </w:trPr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sz w:val="20"/>
                <w:szCs w:val="20"/>
              </w:rPr>
              <w:t xml:space="preserve">Blended trade/swap take rate</w:t>
            </w:r>
          </w:p>
        </w:tc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sz w:val="20"/>
                <w:szCs w:val="20"/>
              </w:rPr>
              <w:t xml:space="preserve">0.5%</w:t>
            </w:r>
          </w:p>
        </w:tc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sz w:val="20"/>
                <w:szCs w:val="20"/>
              </w:rPr>
              <w:t xml:space="preserve">0.6%</w:t>
            </w:r>
          </w:p>
        </w:tc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sz w:val="20"/>
                <w:szCs w:val="20"/>
              </w:rPr>
              <w:t xml:space="preserve">0.7%</w:t>
            </w:r>
          </w:p>
        </w:tc>
      </w:tr>
      <w:tr>
        <w:trPr>
          <w:tblHeader w:val="false"/>
        </w:trPr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sz w:val="20"/>
                <w:szCs w:val="20"/>
              </w:rPr>
              <w:t xml:space="preserve">Trading/swap revenue</w:t>
            </w:r>
          </w:p>
        </w:tc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sz w:val="20"/>
                <w:szCs w:val="20"/>
              </w:rPr>
              <w:t xml:space="preserve">~$24,000</w:t>
            </w:r>
          </w:p>
        </w:tc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sz w:val="20"/>
                <w:szCs w:val="20"/>
              </w:rPr>
              <w:t xml:space="preserve">~$97,000</w:t>
            </w:r>
          </w:p>
        </w:tc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sz w:val="20"/>
                <w:szCs w:val="20"/>
              </w:rPr>
              <w:t xml:space="preserve">~$353,000</w:t>
            </w:r>
          </w:p>
        </w:tc>
      </w:tr>
      <w:tr>
        <w:trPr>
          <w:tblHeader w:val="false"/>
        </w:trPr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sz w:val="20"/>
                <w:szCs w:val="20"/>
              </w:rPr>
              <w:t xml:space="preserve">Bills + gift cards + fiat fees revenue per MAU/yr</w:t>
            </w:r>
          </w:p>
        </w:tc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sz w:val="20"/>
                <w:szCs w:val="20"/>
              </w:rPr>
              <w:t xml:space="preserve">$25</w:t>
            </w:r>
          </w:p>
        </w:tc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sz w:val="20"/>
                <w:szCs w:val="20"/>
              </w:rPr>
              <w:t xml:space="preserve">$35</w:t>
            </w:r>
          </w:p>
        </w:tc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sz w:val="20"/>
                <w:szCs w:val="20"/>
              </w:rPr>
              <w:t xml:space="preserve">$45</w:t>
            </w:r>
          </w:p>
        </w:tc>
      </w:tr>
      <w:tr>
        <w:trPr>
          <w:tblHeader w:val="false"/>
        </w:trPr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sz w:val="20"/>
                <w:szCs w:val="20"/>
              </w:rPr>
              <w:t xml:space="preserve">Bills/gift-cards/fees revenue</w:t>
            </w:r>
          </w:p>
        </w:tc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sz w:val="20"/>
                <w:szCs w:val="20"/>
              </w:rPr>
              <w:t xml:space="preserve">~$100,000</w:t>
            </w:r>
          </w:p>
        </w:tc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sz w:val="20"/>
                <w:szCs w:val="20"/>
              </w:rPr>
              <w:t xml:space="preserve">~$315,000</w:t>
            </w:r>
          </w:p>
        </w:tc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sz w:val="20"/>
                <w:szCs w:val="20"/>
              </w:rPr>
              <w:t xml:space="preserve">~$945,000</w:t>
            </w:r>
          </w:p>
        </w:tc>
      </w:tr>
      <w:tr>
        <w:trPr>
          <w:tblHeader w:val="false"/>
        </w:trPr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sz w:val="20"/>
                <w:szCs w:val="20"/>
              </w:rPr>
              <w:t xml:space="preserve">ARPU per avg MAU (all lines, $/yr)</w:t>
            </w:r>
          </w:p>
        </w:tc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sz w:val="20"/>
                <w:szCs w:val="20"/>
              </w:rPr>
              <w:t xml:space="preserve">~$31</w:t>
            </w:r>
          </w:p>
        </w:tc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sz w:val="20"/>
                <w:szCs w:val="20"/>
              </w:rPr>
              <w:t xml:space="preserve">~$46</w:t>
            </w:r>
          </w:p>
        </w:tc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sz w:val="20"/>
                <w:szCs w:val="20"/>
              </w:rPr>
              <w:t xml:space="preserve">~$62</w:t>
            </w:r>
          </w:p>
        </w:tc>
      </w:tr>
      <w:tr>
        <w:trPr>
          <w:tblHeader w:val="false"/>
        </w:trPr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sz w:val="20"/>
                <w:szCs w:val="20"/>
              </w:rPr>
              <w:t xml:space="preserve">Year-1 revenue (USD)</w:t>
            </w:r>
          </w:p>
        </w:tc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sz w:val="20"/>
                <w:szCs w:val="20"/>
              </w:rPr>
              <w:t xml:space="preserve">~$0.12M</w:t>
            </w:r>
          </w:p>
        </w:tc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sz w:val="20"/>
                <w:szCs w:val="20"/>
              </w:rPr>
              <w:t xml:space="preserve">~$0.41M</w:t>
            </w:r>
          </w:p>
        </w:tc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sz w:val="20"/>
                <w:szCs w:val="20"/>
              </w:rPr>
              <w:t xml:space="preserve">~$1.3M</w:t>
            </w:r>
          </w:p>
        </w:tc>
      </w:tr>
      <w:tr>
        <w:trPr>
          <w:tblHeader w:val="false"/>
        </w:trPr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sz w:val="20"/>
                <w:szCs w:val="20"/>
              </w:rPr>
              <w:t xml:space="preserve">Year-1 revenue (₦)</w:t>
            </w:r>
          </w:p>
        </w:tc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sz w:val="20"/>
                <w:szCs w:val="20"/>
              </w:rPr>
              <w:t xml:space="preserve">~₦200M</w:t>
            </w:r>
          </w:p>
        </w:tc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sz w:val="20"/>
                <w:szCs w:val="20"/>
              </w:rPr>
              <w:t xml:space="preserve">~₦660M</w:t>
            </w:r>
          </w:p>
        </w:tc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sz w:val="20"/>
                <w:szCs w:val="20"/>
              </w:rPr>
              <w:t xml:space="preserve">~₦2.1B</w:t>
            </w:r>
          </w:p>
        </w:tc>
      </w:tr>
    </w:tbl>
    <w:p>
      <w:pPr>
        <w:spacing w:after="120"/>
      </w:pPr>
      <w:r>
        <w:rPr>
          <w:sz w:val="12"/>
          <w:szCs w:val="12"/>
        </w:rPr>
        <w:t xml:space="preserve"/>
      </w:r>
    </w:p>
    <w:p>
      <w:pPr>
        <w:spacing w:after="120" w:line="276"/>
      </w:pPr>
      <w:r>
        <w:rPr>
          <w:sz w:val="22"/>
          <w:szCs w:val="22"/>
        </w:rPr>
        <w:t xml:space="preserve">Sensitivities that matter most, in order: MAU rate (the dormancy problem [45]), per-MAU volume (driven by off-ramp reliability converting high-volume Binance/Bybit refugees [39]), and gift-card mix (highest-margin line [29]). Note Busha's ratio — 800k registered but ~10% monthly active [31]: registered-user counts overstate revenue-generating users by ~10x in this market; the model above already prices that in. Savings NIM and E-Fund are deliberately excluded from Year 1 (regulatory gating, Section 3.3) — they are Year-2+ upside.</w:t>
      </w:r>
    </w:p>
    <w:p>
      <w:pPr>
        <w:pStyle w:val="Heading2"/>
      </w:pPr>
      <w:r>
        <w:t xml:space="preserve">6.3 Unit-economics proof points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sz w:val="22"/>
          <w:szCs w:val="22"/>
        </w:rPr>
        <w:t xml:space="preserve">Yellow Card: revenue 7x since Jan 2023 on $1.7B→$3B+ volumes, spread-monetized — blended take well under 1% [34].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sz w:val="22"/>
          <w:szCs w:val="22"/>
        </w:rPr>
        <w:t xml:space="preserve">Obiex: profitable on $731M processed with a zero-fee/spread model and a lean team [38].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sz w:val="22"/>
          <w:szCs w:val="22"/>
        </w:rPr>
        <w:t xml:space="preserve">Cardtonic: 1.5M+ users built bootstrapped on gift-card margins before its first raise ($2.1M, Jan 2026) [40] — evidence the gift-card line can fund itself.</w:t>
      </w:r>
    </w:p>
    <w:p>
      <w:pPr>
        <w:pStyle w:val="Heading1"/>
        <w:pageBreakBefore/>
      </w:pPr>
      <w:r>
        <w:t xml:space="preserve">7. Go-to-Market Plan</w:t>
      </w:r>
    </w:p>
    <w:p>
      <w:pPr>
        <w:pStyle w:val="Heading2"/>
      </w:pPr>
      <w:r>
        <w:t xml:space="preserve">7.1 Launch sequencing</w:t>
      </w:r>
    </w:p>
    <w:p>
      <w:pPr>
        <w:spacing w:after="60" w:line="264"/>
        <w:ind w:left="360" w:hanging="360"/>
      </w:pPr>
      <w:r>
        <w:rPr>
          <w:sz w:val="22"/>
          <w:szCs w:val="22"/>
        </w:rPr>
        <w:t xml:space="preserve">1. </w:t>
      </w:r>
      <w:r>
        <w:rPr>
          <w:b/>
          <w:bCs/>
          <w:sz w:val="22"/>
          <w:szCs w:val="22"/>
        </w:rPr>
        <w:t xml:space="preserve">Closed beta (Launch − 3 → 0 months).</w:t>
      </w:r>
      <w:r>
        <w:rPr>
          <w:sz w:val="22"/>
          <w:szCs w:val="22"/>
        </w:rPr>
        <w:t xml:space="preserve"> 1,000–3,000 invited users from crypto-Twitter/Telegram communities; obsessive instrumentation of withdrawal latency, KYC pass rate, and time-to-first-trade (target &lt; 10 minutes: phone → BVN/NIN instant match via Smile ID/Dojah → selfie liveness → transfer deposit → trade). Publish the status page during beta, before public launch, so the SLA claim has a track record.</w:t>
      </w:r>
    </w:p>
    <w:p>
      <w:pPr>
        <w:spacing w:after="60" w:line="264"/>
        <w:ind w:left="360" w:hanging="360"/>
      </w:pPr>
      <w:r>
        <w:rPr>
          <w:sz w:val="22"/>
          <w:szCs w:val="22"/>
        </w:rPr>
        <w:t xml:space="preserve">2. </w:t>
      </w:r>
      <w:r>
        <w:rPr>
          <w:b/>
          <w:bCs/>
          <w:sz w:val="22"/>
          <w:szCs w:val="22"/>
        </w:rPr>
        <w:t xml:space="preserve">Campus ambassadors (Months 0–4).</w:t>
      </w:r>
      <w:r>
        <w:rPr>
          <w:sz w:val="22"/>
          <w:szCs w:val="22"/>
        </w:rPr>
        <w:t xml:space="preserve"> 81.5% of users are 18–34 [8]; campus "plugs" are the crypto-adjacent analog of the agent networks that built OPay/PalmPay/Moniepoint. Milestone-based, long-term ambassador contracts — not one-off shills; the influencer research is explicit that milestone structures outperform.</w:t>
      </w:r>
    </w:p>
    <w:p>
      <w:pPr>
        <w:spacing w:after="60" w:line="264"/>
        <w:ind w:left="360" w:hanging="360"/>
      </w:pPr>
      <w:r>
        <w:rPr>
          <w:sz w:val="22"/>
          <w:szCs w:val="22"/>
        </w:rPr>
        <w:t xml:space="preserve">3. </w:t>
      </w:r>
      <w:r>
        <w:rPr>
          <w:b/>
          <w:bCs/>
          <w:sz w:val="22"/>
          <w:szCs w:val="22"/>
        </w:rPr>
        <w:t xml:space="preserve">Referral: ₦-per-friend with activation gates (Months 1+).</w:t>
      </w:r>
      <w:r>
        <w:rPr>
          <w:sz w:val="22"/>
          <w:szCs w:val="22"/>
        </w:rPr>
        <w:t xml:space="preserve"> Both-sides reward of ₦500–₦1,000 equivalent paid in BTC/USDT, released only after the referee completes KYC and ≥₦5,000 of trades — the Busha/OPay pattern (OPay pays ₦800–₦1,500 post-activation; PalmPay gates withdrawal on 5 successful referrals) [53][56]. Device- and BVN-level dedupe to kill referral farming, which is endemic [45].</w:t>
      </w:r>
    </w:p>
    <w:p>
      <w:pPr>
        <w:spacing w:after="60" w:line="264"/>
        <w:ind w:left="360" w:hanging="360"/>
      </w:pPr>
      <w:r>
        <w:rPr>
          <w:sz w:val="22"/>
          <w:szCs w:val="22"/>
        </w:rPr>
        <w:t xml:space="preserve">4. </w:t>
      </w:r>
      <w:r>
        <w:rPr>
          <w:b/>
          <w:bCs/>
          <w:sz w:val="22"/>
          <w:szCs w:val="22"/>
        </w:rPr>
        <w:t xml:space="preserve">Crypto-Twitter/Telegram push (Months 2–6).</w:t>
      </w:r>
      <w:r>
        <w:rPr>
          <w:sz w:val="22"/>
          <w:szCs w:val="22"/>
        </w:rPr>
        <w:t xml:space="preserve"> Educator-tier influencers and community AMAs targeting the Binance/Bybit refugee segment with the "global prices, licensed rails" wedge; Telegram/WhatsApp are the primary discovery channels in this market.</w:t>
      </w:r>
    </w:p>
    <w:p>
      <w:pPr>
        <w:spacing w:after="60" w:line="264"/>
        <w:ind w:left="360" w:hanging="360"/>
      </w:pPr>
      <w:r>
        <w:rPr>
          <w:sz w:val="22"/>
          <w:szCs w:val="22"/>
        </w:rPr>
        <w:t xml:space="preserve">5. </w:t>
      </w:r>
      <w:r>
        <w:rPr>
          <w:b/>
          <w:bCs/>
          <w:sz w:val="22"/>
          <w:szCs w:val="22"/>
        </w:rPr>
        <w:t xml:space="preserve">Bills cashback campaigns (Months 3+).</w:t>
      </w:r>
      <w:r>
        <w:rPr>
          <w:sz w:val="22"/>
          <w:szCs w:val="22"/>
        </w:rPr>
        <w:t xml:space="preserve"> Time-boxed elevated cashback (e.g., 5% airtime weeks, funded within the VTU margin envelope plus a capped marketing budget) to convert trial into the daily habit loop; weekly streak mechanics thereafter [55].</w:t>
      </w:r>
    </w:p>
    <w:p>
      <w:pPr>
        <w:pStyle w:val="Heading2"/>
      </w:pPr>
      <w:r>
        <w:t xml:space="preserve">7.2 CAC and retention benchmarks</w:t>
      </w:r>
    </w:p>
    <w:p>
      <w:pPr>
        <w:spacing w:after="120" w:line="276"/>
      </w:pPr>
      <w:r>
        <w:rPr>
          <w:sz w:val="22"/>
          <w:szCs w:val="22"/>
        </w:rPr>
        <w:t xml:space="preserve">Published CAC figures for Nigerian crypto apps were not found in the research (flagged data gap). Observable proxies: OPay's referral payout of ₦800–₦1,500 (~$0.50–1.00) per </w:t>
      </w:r>
      <w:r>
        <w:rPr>
          <w:i/>
          <w:iCs/>
          <w:sz w:val="22"/>
          <w:szCs w:val="22"/>
        </w:rPr>
        <w:t xml:space="preserve">activated</w:t>
      </w:r>
      <w:r>
        <w:rPr>
          <w:sz w:val="22"/>
          <w:szCs w:val="22"/>
        </w:rPr>
        <w:t xml:space="preserve"> user [53] and PalmPay's ₦250-plus-promos structure [44] bracket the paid-referral CAC floor for fintech; crypto apps convert at higher intent, and fee promos (Luno's ₦0-fee window, Roqqu's 50% discount) are the observed switching triggers. Plan on a blended CAC target of ₦1,500–3,000 per activated (KYC + first trade) user, and measure it against LTV from Section 6's ARPU stack — do not scale spend until Month-3 retention exceeds ~25% of activated users (versus the 40% dormancy norm [45]).</w:t>
      </w:r>
    </w:p>
    <w:p>
      <w:pPr>
        <w:spacing w:after="120" w:line="276"/>
      </w:pPr>
      <w:r>
        <w:rPr>
          <w:sz w:val="22"/>
          <w:szCs w:val="22"/>
        </w:rPr>
        <w:t xml:space="preserve">Retention loops, in priority order: bills cashback + streaks (daily/weekly), price alerts and recurring auto-buy (DCA), savings goals with PiggyVest-style locks (Phase 2), and referral status tiers.</w:t>
      </w:r>
    </w:p>
    <w:p>
      <w:pPr>
        <w:pStyle w:val="Heading2"/>
      </w:pPr>
      <w:r>
        <w:t xml:space="preserve">7.3 What NOT to do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  <w:sz w:val="22"/>
          <w:szCs w:val="22"/>
        </w:rPr>
        <w:t xml:space="preserve">No unsustainable bonuses:</w:t>
      </w:r>
      <w:r>
        <w:rPr>
          <w:sz w:val="22"/>
          <w:szCs w:val="22"/>
        </w:rPr>
        <w:t xml:space="preserve"> aggressive signup cash produced Nigeria's 3-in-5 dormant-account problem and industrial-scale referral farming [45]. Every naira of incentive is activation-gated and deduped.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  <w:sz w:val="22"/>
          <w:szCs w:val="22"/>
        </w:rPr>
        <w:t xml:space="preserve">No ponzi-adjacent promises:</w:t>
      </w:r>
      <w:r>
        <w:rPr>
          <w:sz w:val="22"/>
          <w:szCs w:val="22"/>
        </w:rPr>
        <w:t xml:space="preserve"> no "guaranteed returns," no fixed-percentage headlines, no countdown-timer investment products. ISA 2025 criminalizes promotion, not just operation [15]; post-CBEX, the SEC reads marketing copy [46].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  <w:sz w:val="22"/>
          <w:szCs w:val="22"/>
        </w:rPr>
        <w:t xml:space="preserve">No P2P marketplace:</w:t>
      </w:r>
      <w:r>
        <w:rPr>
          <w:sz w:val="22"/>
          <w:szCs w:val="22"/>
        </w:rPr>
        <w:t xml:space="preserve"> Quidax's P2P died in ~5 months; the SEC dislikes it; instant swaps on legal rails beat it.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  <w:sz w:val="22"/>
          <w:szCs w:val="22"/>
        </w:rPr>
        <w:t xml:space="preserve">No feature sprawl before the loop closes:</w:t>
      </w:r>
      <w:r>
        <w:rPr>
          <w:sz w:val="22"/>
          <w:szCs w:val="22"/>
        </w:rPr>
        <w:t xml:space="preserve"> Yellow Card's retail exit is the cautionary tale on unit economics [35] — do not launch savings/E-Fund early to juice growth; they carry the heaviest regulatory risk (Section 3.3).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  <w:sz w:val="22"/>
          <w:szCs w:val="22"/>
        </w:rPr>
        <w:t xml:space="preserve">No opaque crisis management:</w:t>
      </w:r>
      <w:r>
        <w:rPr>
          <w:sz w:val="22"/>
          <w:szCs w:val="22"/>
        </w:rPr>
        <w:t xml:space="preserve"> Patricia's forced token conversion is the sector's defining brand-destruction case study [47]. Pre-commit publicly to the incident playbook: disclose within 72h, never socialize losses, never issue IOU tokens.</w:t>
      </w:r>
    </w:p>
    <w:p>
      <w:pPr>
        <w:pStyle w:val="Heading1"/>
        <w:pageBreakBefore/>
      </w:pPr>
      <w:r>
        <w:t xml:space="preserve">8. Risks &amp; Mitigations</w:t>
      </w:r>
    </w:p>
    <w:tbl>
      <w:tblPr>
        <w:tblW w:type="dxa" w:w="936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2426"/>
        <w:gridCol w:w="1733"/>
        <w:gridCol w:w="1733"/>
        <w:gridCol w:w="1733"/>
        <w:gridCol w:w="1735"/>
      </w:tblGrid>
      <w:tr>
        <w:trPr>
          <w:tblHeader/>
        </w:trPr>
        <w:tc>
          <w:tcPr>
            <w:tcW w:type="dxa" w:w="2426"/>
            <w:shd w:fill="E9ED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sz w:val="18"/>
                <w:szCs w:val="18"/>
              </w:rPr>
              <w:t xml:space="preserve">#</w:t>
            </w:r>
          </w:p>
        </w:tc>
        <w:tc>
          <w:tcPr>
            <w:tcW w:type="dxa" w:w="1733"/>
            <w:shd w:fill="E9ED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sz w:val="18"/>
                <w:szCs w:val="18"/>
              </w:rPr>
              <w:t xml:space="preserve">Risk</w:t>
            </w:r>
          </w:p>
        </w:tc>
        <w:tc>
          <w:tcPr>
            <w:tcW w:type="dxa" w:w="1733"/>
            <w:shd w:fill="E9ED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sz w:val="18"/>
                <w:szCs w:val="18"/>
              </w:rPr>
              <w:t xml:space="preserve">Likelihood</w:t>
            </w:r>
          </w:p>
        </w:tc>
        <w:tc>
          <w:tcPr>
            <w:tcW w:type="dxa" w:w="1733"/>
            <w:shd w:fill="E9ED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sz w:val="18"/>
                <w:szCs w:val="18"/>
              </w:rPr>
              <w:t xml:space="preserve">Impact</w:t>
            </w:r>
          </w:p>
        </w:tc>
        <w:tc>
          <w:tcPr>
            <w:tcW w:type="dxa" w:w="1735"/>
            <w:shd w:fill="E9ED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sz w:val="18"/>
                <w:szCs w:val="18"/>
              </w:rPr>
              <w:t xml:space="preserve">Mitigation</w:t>
            </w:r>
          </w:p>
        </w:tc>
      </w:tr>
      <w:tr>
        <w:trPr>
          <w:tblHeader w:val="false"/>
        </w:trPr>
        <w:tc>
          <w:tcPr>
            <w:tcW w:type="dxa" w:w="24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1733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Licensing delay beyond 18 months stalls launch</w:t>
            </w:r>
          </w:p>
        </w:tc>
        <w:tc>
          <w:tcPr>
            <w:tcW w:type="dxa" w:w="1733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Medium</w:t>
            </w:r>
          </w:p>
        </w:tc>
        <w:tc>
          <w:tcPr>
            <w:tcW w:type="dxa" w:w="1733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High</w:t>
            </w:r>
          </w:p>
        </w:tc>
        <w:tc>
          <w:tcPr>
            <w:tcW w:type="dxa" w:w="1735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Run Track B (partner/acquire AIP holder) in parallel from day one; keep beta in ready state; SEC cadence is improving [20]</w:t>
            </w:r>
          </w:p>
        </w:tc>
      </w:tr>
      <w:tr>
        <w:trPr>
          <w:tblHeader w:val="false"/>
        </w:trPr>
        <w:tc>
          <w:tcPr>
            <w:tcW w:type="dxa" w:w="24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1733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₦2B capital rule tightens further or fees rise</w:t>
            </w:r>
          </w:p>
        </w:tc>
        <w:tc>
          <w:tcPr>
            <w:tcW w:type="dxa" w:w="1733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Medium</w:t>
            </w:r>
          </w:p>
        </w:tc>
        <w:tc>
          <w:tcPr>
            <w:tcW w:type="dxa" w:w="1733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High</w:t>
            </w:r>
          </w:p>
        </w:tc>
        <w:tc>
          <w:tcPr>
            <w:tcW w:type="dxa" w:w="1735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Capitalize above minimum; stakeholders already call fees "economically unrealistic" — budget headroom, monitor SEC circulars [17]</w:t>
            </w:r>
          </w:p>
        </w:tc>
      </w:tr>
      <w:tr>
        <w:trPr>
          <w:tblHeader w:val="false"/>
        </w:trPr>
        <w:tc>
          <w:tcPr>
            <w:tcW w:type="dxa" w:w="24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1733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Banking partner de-risks and closes VASP accounts (Providus precedent, 2021)</w:t>
            </w:r>
          </w:p>
        </w:tc>
        <w:tc>
          <w:tcPr>
            <w:tcW w:type="dxa" w:w="1733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Medium</w:t>
            </w:r>
          </w:p>
        </w:tc>
        <w:tc>
          <w:tcPr>
            <w:tcW w:type="dxa" w:w="1733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High</w:t>
            </w:r>
          </w:p>
        </w:tc>
        <w:tc>
          <w:tcPr>
            <w:tcW w:type="dxa" w:w="1735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Multiple bank relationships (Providus + 9PSB + Monnify); settlement redundancy is also what makes the SLA honest</w:t>
            </w:r>
          </w:p>
        </w:tc>
      </w:tr>
      <w:tr>
        <w:trPr>
          <w:tblHeader w:val="false"/>
        </w:trPr>
        <w:tc>
          <w:tcPr>
            <w:tcW w:type="dxa" w:w="24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1733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Naira policy shock (new CBN restrictions, P2P-style crackdowns)</w:t>
            </w:r>
          </w:p>
        </w:tc>
        <w:tc>
          <w:tcPr>
            <w:tcW w:type="dxa" w:w="1733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Medium</w:t>
            </w:r>
          </w:p>
        </w:tc>
        <w:tc>
          <w:tcPr>
            <w:tcW w:type="dxa" w:w="1733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High</w:t>
            </w:r>
          </w:p>
        </w:tc>
        <w:tc>
          <w:tcPr>
            <w:tcW w:type="dxa" w:w="1735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Full compliance posture; proactive regulator engagement; no gray-market features; cNGN listing for goodwill [50]</w:t>
            </w:r>
          </w:p>
        </w:tc>
      </w:tr>
      <w:tr>
        <w:trPr>
          <w:tblHeader w:val="false"/>
        </w:trPr>
        <w:tc>
          <w:tcPr>
            <w:tcW w:type="dxa" w:w="24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1733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Hack or custody breach (Patricia scenario)</w:t>
            </w:r>
          </w:p>
        </w:tc>
        <w:tc>
          <w:tcPr>
            <w:tcW w:type="dxa" w:w="1733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Low–Med</w:t>
            </w:r>
          </w:p>
        </w:tc>
        <w:tc>
          <w:tcPr>
            <w:tcW w:type="dxa" w:w="1733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Severe</w:t>
            </w:r>
          </w:p>
        </w:tc>
        <w:tc>
          <w:tcPr>
            <w:tcW w:type="dxa" w:w="1735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MPC custody (Fireblocks/BitGo/Blockvault), cold-storage majority, withdrawal circuit breakers, insurance, 72h disclosure, monthly PoR [47][37]</w:t>
            </w:r>
          </w:p>
        </w:tc>
      </w:tr>
      <w:tr>
        <w:trPr>
          <w:tblHeader w:val="false"/>
        </w:trPr>
        <w:tc>
          <w:tcPr>
            <w:tcW w:type="dxa" w:w="24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type="dxa" w:w="1733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Gift-card fraud losses (scam-proceeds channel, fake receipts, used codes)</w:t>
            </w:r>
          </w:p>
        </w:tc>
        <w:tc>
          <w:tcPr>
            <w:tcW w:type="dxa" w:w="1733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High</w:t>
            </w:r>
          </w:p>
        </w:tc>
        <w:tc>
          <w:tcPr>
            <w:tcW w:type="dxa" w:w="1733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Medium</w:t>
            </w:r>
          </w:p>
        </w:tc>
        <w:tc>
          <w:tcPr>
            <w:tcW w:type="dxa" w:w="1735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BVN+ID+selfie gate, automated card validation, delayed settlement windows, dedicated fraud ops [29]</w:t>
            </w:r>
          </w:p>
        </w:tc>
      </w:tr>
      <w:tr>
        <w:trPr>
          <w:tblHeader w:val="false"/>
        </w:trPr>
        <w:tc>
          <w:tcPr>
            <w:tcW w:type="dxa" w:w="24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7</w:t>
            </w:r>
          </w:p>
        </w:tc>
        <w:tc>
          <w:tcPr>
            <w:tcW w:type="dxa" w:w="1733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Referral/bonus farming drains GTM budget</w:t>
            </w:r>
          </w:p>
        </w:tc>
        <w:tc>
          <w:tcPr>
            <w:tcW w:type="dxa" w:w="1733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High</w:t>
            </w:r>
          </w:p>
        </w:tc>
        <w:tc>
          <w:tcPr>
            <w:tcW w:type="dxa" w:w="1733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Medium</w:t>
            </w:r>
          </w:p>
        </w:tc>
        <w:tc>
          <w:tcPr>
            <w:tcW w:type="dxa" w:w="1735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Activation gates, device/BVN dedupe, payout caps, anomaly detection [45]</w:t>
            </w:r>
          </w:p>
        </w:tc>
      </w:tr>
      <w:tr>
        <w:trPr>
          <w:tblHeader w:val="false"/>
        </w:trPr>
        <w:tc>
          <w:tcPr>
            <w:tcW w:type="dxa" w:w="24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dxa" w:w="1733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Tax/FIRS reporting failure (monthly per-user filings)</w:t>
            </w:r>
          </w:p>
        </w:tc>
        <w:tc>
          <w:tcPr>
            <w:tcW w:type="dxa" w:w="1733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Medium</w:t>
            </w:r>
          </w:p>
        </w:tc>
        <w:tc>
          <w:tcPr>
            <w:tcW w:type="dxa" w:w="1733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High</w:t>
            </w:r>
          </w:p>
        </w:tc>
        <w:tc>
          <w:tcPr>
            <w:tcW w:type="dxa" w:w="1735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Build the FIRS pipeline into the ledger pre-launch; verify gazetted rates with tax counsel [23][24]</w:t>
            </w:r>
          </w:p>
        </w:tc>
      </w:tr>
      <w:tr>
        <w:trPr>
          <w:tblHeader w:val="false"/>
        </w:trPr>
        <w:tc>
          <w:tcPr>
            <w:tcW w:type="dxa" w:w="24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9</w:t>
            </w:r>
          </w:p>
        </w:tc>
        <w:tc>
          <w:tcPr>
            <w:tcW w:type="dxa" w:w="1733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Competitor response: Busha/Quidax add bills or gift cards</w:t>
            </w:r>
          </w:p>
        </w:tc>
        <w:tc>
          <w:tcPr>
            <w:tcW w:type="dxa" w:w="1733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Medium</w:t>
            </w:r>
          </w:p>
        </w:tc>
        <w:tc>
          <w:tcPr>
            <w:tcW w:type="dxa" w:w="1733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Medium</w:t>
            </w:r>
          </w:p>
        </w:tc>
        <w:tc>
          <w:tcPr>
            <w:tcW w:type="dxa" w:w="1735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Speed + bundle depth + trust plays (SLA, PoR) that require operational commitment, not just a feature flag</w:t>
            </w:r>
          </w:p>
        </w:tc>
      </w:tr>
      <w:tr>
        <w:trPr>
          <w:tblHeader w:val="false"/>
        </w:trPr>
        <w:tc>
          <w:tcPr>
            <w:tcW w:type="dxa" w:w="24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10</w:t>
            </w:r>
          </w:p>
        </w:tc>
        <w:tc>
          <w:tcPr>
            <w:tcW w:type="dxa" w:w="1733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Savings/E-Fund product rejected or re-classified by SEC</w:t>
            </w:r>
          </w:p>
        </w:tc>
        <w:tc>
          <w:tcPr>
            <w:tcW w:type="dxa" w:w="1733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Medium</w:t>
            </w:r>
          </w:p>
        </w:tc>
        <w:tc>
          <w:tcPr>
            <w:tcW w:type="dxa" w:w="1733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Medium</w:t>
            </w:r>
          </w:p>
        </w:tc>
        <w:tc>
          <w:tcPr>
            <w:tcW w:type="dxa" w:w="1735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Phase-gated roadmap; product approval before build-out; partner route for E-Fund (GetEquity precedent)</w:t>
            </w:r>
          </w:p>
        </w:tc>
      </w:tr>
      <w:tr>
        <w:trPr>
          <w:tblHeader w:val="false"/>
        </w:trPr>
        <w:tc>
          <w:tcPr>
            <w:tcW w:type="dxa" w:w="24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11</w:t>
            </w:r>
          </w:p>
        </w:tc>
        <w:tc>
          <w:tcPr>
            <w:tcW w:type="dxa" w:w="1733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Device-affordability ceiling slows mass-market growth</w:t>
            </w:r>
          </w:p>
        </w:tc>
        <w:tc>
          <w:tcPr>
            <w:tcW w:type="dxa" w:w="1733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Medium</w:t>
            </w:r>
          </w:p>
        </w:tc>
        <w:tc>
          <w:tcPr>
            <w:tcW w:type="dxa" w:w="1733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Low–Med</w:t>
            </w:r>
          </w:p>
        </w:tc>
        <w:tc>
          <w:tcPr>
            <w:tcW w:type="dxa" w:w="1735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Data-light app, USSD-familiar flows per brand spec; focus on the 18–34 smartphone cohort first [10]</w:t>
            </w:r>
          </w:p>
        </w:tc>
      </w:tr>
    </w:tbl>
    <w:p>
      <w:pPr>
        <w:spacing w:after="120"/>
      </w:pPr>
      <w:r>
        <w:rPr>
          <w:sz w:val="12"/>
          <w:szCs w:val="12"/>
        </w:rPr>
        <w:t xml:space="preserve"/>
      </w:r>
    </w:p>
    <w:p>
      <w:pPr>
        <w:pStyle w:val="Heading1"/>
        <w:pageBreakBefore/>
      </w:pPr>
      <w:r>
        <w:t xml:space="preserve">9. Recommendations &amp; 90-Day Action Plan</w:t>
      </w:r>
    </w:p>
    <w:p>
      <w:pPr>
        <w:pStyle w:val="Heading2"/>
      </w:pPr>
      <w:r>
        <w:t xml:space="preserve">9.1 Five headline recommendations</w:t>
      </w:r>
    </w:p>
    <w:p>
      <w:pPr>
        <w:spacing w:after="60" w:line="264"/>
        <w:ind w:left="360" w:hanging="360"/>
      </w:pPr>
      <w:r>
        <w:rPr>
          <w:sz w:val="22"/>
          <w:szCs w:val="22"/>
        </w:rPr>
        <w:t xml:space="preserve">1. </w:t>
      </w:r>
      <w:r>
        <w:rPr>
          <w:b/>
          <w:bCs/>
          <w:sz w:val="22"/>
          <w:szCs w:val="22"/>
        </w:rPr>
        <w:t xml:space="preserve">Commit to licensed entry now (₦2.1–2.5B all-in) and run the dual-track:</w:t>
      </w:r>
      <w:r>
        <w:rPr>
          <w:sz w:val="22"/>
          <w:szCs w:val="22"/>
        </w:rPr>
        <w:t xml:space="preserve"> file ARIP directly while negotiating with at least two AIP holders for a partnership/acquisition fast path. Decision point at Day 90.</w:t>
      </w:r>
    </w:p>
    <w:p>
      <w:pPr>
        <w:spacing w:after="60" w:line="264"/>
        <w:ind w:left="360" w:hanging="360"/>
      </w:pPr>
      <w:r>
        <w:rPr>
          <w:sz w:val="22"/>
          <w:szCs w:val="22"/>
        </w:rPr>
        <w:t xml:space="preserve">2. </w:t>
      </w:r>
      <w:r>
        <w:rPr>
          <w:b/>
          <w:bCs/>
          <w:sz w:val="22"/>
          <w:szCs w:val="22"/>
        </w:rPr>
        <w:t xml:space="preserve">Launch with the licensed core plus bills; phase savings and E-Fund behind their regulatory gates.</w:t>
      </w:r>
      <w:r>
        <w:rPr>
          <w:sz w:val="22"/>
          <w:szCs w:val="22"/>
        </w:rPr>
        <w:t xml:space="preserve"> Buy/sell/swap + instant naira ramps + aggregator-powered bills at launch; gift cards in Phase 1–2 with hardened KYC; savings after full registration and product approval; E-Fund last, via a licensed partner.</w:t>
      </w:r>
    </w:p>
    <w:p>
      <w:pPr>
        <w:spacing w:after="60" w:line="264"/>
        <w:ind w:left="360" w:hanging="360"/>
      </w:pPr>
      <w:r>
        <w:rPr>
          <w:sz w:val="22"/>
          <w:szCs w:val="22"/>
        </w:rPr>
        <w:t xml:space="preserve">3. </w:t>
      </w:r>
      <w:r>
        <w:rPr>
          <w:b/>
          <w:bCs/>
          <w:sz w:val="22"/>
          <w:szCs w:val="22"/>
        </w:rPr>
        <w:t xml:space="preserve">Differentiate on the three trust plays no competitor runs together:</w:t>
      </w:r>
      <w:r>
        <w:rPr>
          <w:sz w:val="22"/>
          <w:szCs w:val="22"/>
        </w:rPr>
        <w:t xml:space="preserve"> public off-ramp SLA with live status page; monthly third-party proof-of-reserves from day one; bills-first cashback loop. These map one-to-one onto the market's documented failure modes.</w:t>
      </w:r>
    </w:p>
    <w:p>
      <w:pPr>
        <w:spacing w:after="60" w:line="264"/>
        <w:ind w:left="360" w:hanging="360"/>
      </w:pPr>
      <w:r>
        <w:rPr>
          <w:sz w:val="22"/>
          <w:szCs w:val="22"/>
        </w:rPr>
        <w:t xml:space="preserve">4. </w:t>
      </w:r>
      <w:r>
        <w:rPr>
          <w:b/>
          <w:bCs/>
          <w:sz w:val="22"/>
          <w:szCs w:val="22"/>
        </w:rPr>
        <w:t xml:space="preserve">Price at Quidax parity with radical disclosure:</w:t>
      </w:r>
      <w:r>
        <w:rPr>
          <w:sz w:val="22"/>
          <w:szCs w:val="22"/>
        </w:rPr>
        <w:t xml:space="preserve"> 0.1% order book, 0.5–1.0% swap spread displayed on the quote, ₦100/₦200 flat fiat fees, 2–4% gift cards, 1.5–3% VTU with ~1% cashback, 6–8% APY savings later.</w:t>
      </w:r>
    </w:p>
    <w:p>
      <w:pPr>
        <w:spacing w:after="60" w:line="264"/>
        <w:ind w:left="360" w:hanging="360"/>
      </w:pPr>
      <w:r>
        <w:rPr>
          <w:sz w:val="22"/>
          <w:szCs w:val="22"/>
        </w:rPr>
        <w:t xml:space="preserve">5. </w:t>
      </w:r>
      <w:r>
        <w:rPr>
          <w:b/>
          <w:bCs/>
          <w:sz w:val="22"/>
          <w:szCs w:val="22"/>
        </w:rPr>
        <w:t xml:space="preserve">Target the Binance/Bybit refugee pool as the primary acquisition segment,</w:t>
      </w:r>
      <w:r>
        <w:rPr>
          <w:sz w:val="22"/>
          <w:szCs w:val="22"/>
        </w:rPr>
        <w:t xml:space="preserve"> with activation-gated BTC/USDT referrals and campus ambassadors as the channels — and refuse growth tactics (blanket bonuses, yield hype) that created the market's dormancy and Ponzi scars.</w:t>
      </w:r>
    </w:p>
    <w:p>
      <w:pPr>
        <w:pStyle w:val="Heading2"/>
      </w:pPr>
      <w:r>
        <w:t xml:space="preserve">9.2 90-day action plan</w:t>
      </w:r>
    </w:p>
    <w:p>
      <w:pPr>
        <w:spacing w:after="60" w:line="264"/>
        <w:ind w:left="360" w:hanging="360"/>
      </w:pPr>
      <w:r>
        <w:rPr>
          <w:sz w:val="22"/>
          <w:szCs w:val="22"/>
        </w:rPr>
        <w:t xml:space="preserve">1. </w:t>
      </w:r>
      <w:r>
        <w:rPr>
          <w:b/>
          <w:bCs/>
          <w:sz w:val="22"/>
          <w:szCs w:val="22"/>
        </w:rPr>
        <w:t xml:space="preserve">Week 1–2 — Governance:</w:t>
      </w:r>
      <w:r>
        <w:rPr>
          <w:sz w:val="22"/>
          <w:szCs w:val="22"/>
        </w:rPr>
        <w:t xml:space="preserve"> engage a registered Nigerian solicitor (SEC filings) and tax counsel (verify gazetted NTA 2025 rates); confirm capital plan for ₦2B + bond.</w:t>
      </w:r>
    </w:p>
    <w:p>
      <w:pPr>
        <w:spacing w:after="60" w:line="264"/>
        <w:ind w:left="360" w:hanging="360"/>
      </w:pPr>
      <w:r>
        <w:rPr>
          <w:sz w:val="22"/>
          <w:szCs w:val="22"/>
        </w:rPr>
        <w:t xml:space="preserve">2. </w:t>
      </w:r>
      <w:r>
        <w:rPr>
          <w:b/>
          <w:bCs/>
          <w:sz w:val="22"/>
          <w:szCs w:val="22"/>
        </w:rPr>
        <w:t xml:space="preserve">Week 1–4 — Entity:</w:t>
      </w:r>
      <w:r>
        <w:rPr>
          <w:sz w:val="22"/>
          <w:szCs w:val="22"/>
        </w:rPr>
        <w:t xml:space="preserve"> incorporate the Nigerian entity, secure the physical office, confirm resident CEO/MD, open recruitment for the four principal officers (compliance officer first).</w:t>
      </w:r>
    </w:p>
    <w:p>
      <w:pPr>
        <w:spacing w:after="60" w:line="264"/>
        <w:ind w:left="360" w:hanging="360"/>
      </w:pPr>
      <w:r>
        <w:rPr>
          <w:sz w:val="22"/>
          <w:szCs w:val="22"/>
        </w:rPr>
        <w:t xml:space="preserve">3. </w:t>
      </w:r>
      <w:r>
        <w:rPr>
          <w:b/>
          <w:bCs/>
          <w:sz w:val="22"/>
          <w:szCs w:val="22"/>
        </w:rPr>
        <w:t xml:space="preserve">Week 2–6 — Track B soundings:</w:t>
      </w:r>
      <w:r>
        <w:rPr>
          <w:sz w:val="22"/>
          <w:szCs w:val="22"/>
        </w:rPr>
        <w:t xml:space="preserve"> NDAs and exploratory talks with 2–3 AIP holders (KoinKoin, Bitbarter, GIGX class) on partnership/acquisition; define walk-away terms.</w:t>
      </w:r>
    </w:p>
    <w:p>
      <w:pPr>
        <w:spacing w:after="60" w:line="264"/>
        <w:ind w:left="360" w:hanging="360"/>
      </w:pPr>
      <w:r>
        <w:rPr>
          <w:sz w:val="22"/>
          <w:szCs w:val="22"/>
        </w:rPr>
        <w:t xml:space="preserve">4. </w:t>
      </w:r>
      <w:r>
        <w:rPr>
          <w:b/>
          <w:bCs/>
          <w:sz w:val="22"/>
          <w:szCs w:val="22"/>
        </w:rPr>
        <w:t xml:space="preserve">Week 3–8 — ARIP dossier:</w:t>
      </w:r>
      <w:r>
        <w:rPr>
          <w:sz w:val="22"/>
          <w:szCs w:val="22"/>
        </w:rPr>
        <w:t xml:space="preserve"> Forms SEC 2/2D, fidelity bond, shareholders'-funds evidence, no-objection letters; target filing by Day 60.</w:t>
      </w:r>
    </w:p>
    <w:p>
      <w:pPr>
        <w:spacing w:after="60" w:line="264"/>
        <w:ind w:left="360" w:hanging="360"/>
      </w:pPr>
      <w:r>
        <w:rPr>
          <w:sz w:val="22"/>
          <w:szCs w:val="22"/>
        </w:rPr>
        <w:t xml:space="preserve">5. </w:t>
      </w:r>
      <w:r>
        <w:rPr>
          <w:b/>
          <w:bCs/>
          <w:sz w:val="22"/>
          <w:szCs w:val="22"/>
        </w:rPr>
        <w:t xml:space="preserve">Week 3–8 — Banking:</w:t>
      </w:r>
      <w:r>
        <w:rPr>
          <w:sz w:val="22"/>
          <w:szCs w:val="22"/>
        </w:rPr>
        <w:t xml:space="preserve"> open negotiations with Providus, 9PSB and Monnify on virtual-account rails contingent on AIP; document settlement redundancy design.</w:t>
      </w:r>
    </w:p>
    <w:p>
      <w:pPr>
        <w:spacing w:after="60" w:line="264"/>
        <w:ind w:left="360" w:hanging="360"/>
      </w:pPr>
      <w:r>
        <w:rPr>
          <w:sz w:val="22"/>
          <w:szCs w:val="22"/>
        </w:rPr>
        <w:t xml:space="preserve">6. </w:t>
      </w:r>
      <w:r>
        <w:rPr>
          <w:b/>
          <w:bCs/>
          <w:sz w:val="22"/>
          <w:szCs w:val="22"/>
        </w:rPr>
        <w:t xml:space="preserve">Week 4–10 — Compliance infrastructure:</w:t>
      </w:r>
      <w:r>
        <w:rPr>
          <w:sz w:val="22"/>
          <w:szCs w:val="22"/>
        </w:rPr>
        <w:t xml:space="preserve"> select KYC vendor (Smile ID or Dojah) and custody stack (Fireblocks/BitGo; evaluate Blockvault for local licensed custody); stand up AML programme, NFIU reporting procedures, NDPC registration; spec the FIRS monthly-reporting ledger requirement into the core data model.</w:t>
      </w:r>
    </w:p>
    <w:p>
      <w:pPr>
        <w:spacing w:after="60" w:line="264"/>
        <w:ind w:left="360" w:hanging="360"/>
      </w:pPr>
      <w:r>
        <w:rPr>
          <w:sz w:val="22"/>
          <w:szCs w:val="22"/>
        </w:rPr>
        <w:t xml:space="preserve">7. </w:t>
      </w:r>
      <w:r>
        <w:rPr>
          <w:b/>
          <w:bCs/>
          <w:sz w:val="22"/>
          <w:szCs w:val="22"/>
        </w:rPr>
        <w:t xml:space="preserve">Week 4–12 — Product:</w:t>
      </w:r>
      <w:r>
        <w:rPr>
          <w:sz w:val="22"/>
          <w:szCs w:val="22"/>
        </w:rPr>
        <w:t xml:space="preserve"> lock launch scope (trade + ramps + bills); integrate one bills aggregator (VTpass or Quickteller) in sandbox; build the status-page/withdrawal-latency instrumentation into v1 architecture.</w:t>
      </w:r>
    </w:p>
    <w:p>
      <w:pPr>
        <w:spacing w:after="60" w:line="264"/>
        <w:ind w:left="360" w:hanging="360"/>
      </w:pPr>
      <w:r>
        <w:rPr>
          <w:sz w:val="22"/>
          <w:szCs w:val="22"/>
        </w:rPr>
        <w:t xml:space="preserve">8. </w:t>
      </w:r>
      <w:r>
        <w:rPr>
          <w:b/>
          <w:bCs/>
          <w:sz w:val="22"/>
          <w:szCs w:val="22"/>
        </w:rPr>
        <w:t xml:space="preserve">Week 6–12 — Trust assets:</w:t>
      </w:r>
      <w:r>
        <w:rPr>
          <w:sz w:val="22"/>
          <w:szCs w:val="22"/>
        </w:rPr>
        <w:t xml:space="preserve"> appoint the PoR attestation firm (Moore-model); draft the incident-response and disclosure playbook; draft the public fee page and SLA copy in brand voice.</w:t>
      </w:r>
    </w:p>
    <w:p>
      <w:pPr>
        <w:spacing w:after="60" w:line="264"/>
        <w:ind w:left="360" w:hanging="360"/>
      </w:pPr>
      <w:r>
        <w:rPr>
          <w:sz w:val="22"/>
          <w:szCs w:val="22"/>
        </w:rPr>
        <w:t xml:space="preserve">9. </w:t>
      </w:r>
      <w:r>
        <w:rPr>
          <w:b/>
          <w:bCs/>
          <w:sz w:val="22"/>
          <w:szCs w:val="22"/>
        </w:rPr>
        <w:t xml:space="preserve">Week 8–12 — GTM foundations:</w:t>
      </w:r>
      <w:r>
        <w:rPr>
          <w:sz w:val="22"/>
          <w:szCs w:val="22"/>
        </w:rPr>
        <w:t xml:space="preserve"> recruit first 10 campus ambassadors under milestone contracts; seed the closed-beta waitlist (target 5,000) via crypto-Twitter/Telegram; design the activation-gated referral mechanic with fraud controls.</w:t>
      </w:r>
    </w:p>
    <w:p>
      <w:pPr>
        <w:spacing w:after="60" w:line="264"/>
        <w:ind w:left="360" w:hanging="360"/>
      </w:pPr>
      <w:r>
        <w:rPr>
          <w:sz w:val="22"/>
          <w:szCs w:val="22"/>
        </w:rPr>
        <w:t xml:space="preserve">10. </w:t>
      </w:r>
      <w:r>
        <w:rPr>
          <w:b/>
          <w:bCs/>
          <w:sz w:val="22"/>
          <w:szCs w:val="22"/>
        </w:rPr>
        <w:t xml:space="preserve">Day 90 — Decision review:</w:t>
      </w:r>
      <w:r>
        <w:rPr>
          <w:sz w:val="22"/>
          <w:szCs w:val="22"/>
        </w:rPr>
        <w:t xml:space="preserve"> choose Track A vs Track B based on SEC signals and partner terms; approve the Year-1 budget against the Section 6 base case; set the beta date.</w:t>
      </w:r>
    </w:p>
    <w:p>
      <w:pPr>
        <w:pStyle w:val="Heading1"/>
        <w:pageBreakBefore/>
      </w:pPr>
      <w:r>
        <w:t xml:space="preserve">10. References</w:t>
      </w:r>
    </w:p>
    <w:p>
      <w:pPr>
        <w:spacing w:after="60" w:line="264"/>
        <w:ind w:left="360" w:hanging="360"/>
      </w:pPr>
      <w:r>
        <w:rPr>
          <w:sz w:val="22"/>
          <w:szCs w:val="22"/>
        </w:rPr>
        <w:t xml:space="preserve">1. Chainalysis — 2025 Global Crypto Adoption Index. https://www.chainalysis.com/blog/2025-global-crypto-adoption-index/</w:t>
      </w:r>
    </w:p>
    <w:p>
      <w:pPr>
        <w:spacing w:after="60" w:line="264"/>
        <w:ind w:left="360" w:hanging="360"/>
      </w:pPr>
      <w:r>
        <w:rPr>
          <w:sz w:val="22"/>
          <w:szCs w:val="22"/>
        </w:rPr>
        <w:t xml:space="preserve">2. Chainalysis — Sub-Saharan Africa: 2025 Geography of Cryptocurrency Report (Oct 2025). https://www.chainalysis.com/blog/subsaharan-africa-crypto-adoption-2025/</w:t>
      </w:r>
    </w:p>
    <w:p>
      <w:pPr>
        <w:spacing w:after="60" w:line="264"/>
        <w:ind w:left="360" w:hanging="360"/>
      </w:pPr>
      <w:r>
        <w:rPr>
          <w:sz w:val="22"/>
          <w:szCs w:val="22"/>
        </w:rPr>
        <w:t xml:space="preserve">3. Technext (Sep 2025) — Crypto: Nigeria slips as India and U.S. lead. https://technext24.com/2025/09/04/crypto-nigeria-slips-india-and-u-s-lead/</w:t>
      </w:r>
    </w:p>
    <w:p>
      <w:pPr>
        <w:spacing w:after="60" w:line="264"/>
        <w:ind w:left="360" w:hanging="360"/>
      </w:pPr>
      <w:r>
        <w:rPr>
          <w:sz w:val="22"/>
          <w:szCs w:val="22"/>
        </w:rPr>
        <w:t xml:space="preserve">4. Leadership.ng, citing IMF (2025) — Nigerians turning to stablecoins for remittances amid $59bn crypto inflows. https://leadership.ng/nigerians-turning-to-stablecoins-for-remittances-amid-59bn-crypto-inflows-imf/</w:t>
      </w:r>
    </w:p>
    <w:p>
      <w:pPr>
        <w:spacing w:after="60" w:line="264"/>
        <w:ind w:left="360" w:hanging="360"/>
      </w:pPr>
      <w:r>
        <w:rPr>
          <w:sz w:val="22"/>
          <w:szCs w:val="22"/>
        </w:rPr>
        <w:t xml:space="preserve">5. Mariblock (Oct 2025) — Sub-Saharan Africa now the third-fastest-growing crypto region. https://www.mariblock.com/sub-saharan-africa-now-the-third-fastest-growing-crypto-region-chainalysis/</w:t>
      </w:r>
    </w:p>
    <w:p>
      <w:pPr>
        <w:spacing w:after="60" w:line="264"/>
        <w:ind w:left="360" w:hanging="360"/>
      </w:pPr>
      <w:r>
        <w:rPr>
          <w:sz w:val="22"/>
          <w:szCs w:val="22"/>
        </w:rPr>
        <w:t xml:space="preserve">6. Plasma (2025) — Nigeria stablecoins. https://www.plasma.org/learn/nigeria-stablecoins</w:t>
      </w:r>
    </w:p>
    <w:p>
      <w:pPr>
        <w:spacing w:after="60" w:line="264"/>
        <w:ind w:left="360" w:hanging="360"/>
      </w:pPr>
      <w:r>
        <w:rPr>
          <w:sz w:val="22"/>
          <w:szCs w:val="22"/>
        </w:rPr>
        <w:t xml:space="preserve">7. Mular (2025) — Nigeria crypto ownership 2025. https://mular.co/blog/nigeria-crypto-ownership-2025/</w:t>
      </w:r>
    </w:p>
    <w:p>
      <w:pPr>
        <w:spacing w:after="60" w:line="264"/>
        <w:ind w:left="360" w:hanging="360"/>
      </w:pPr>
      <w:r>
        <w:rPr>
          <w:sz w:val="22"/>
          <w:szCs w:val="22"/>
        </w:rPr>
        <w:t xml:space="preserve">8. Springer Nature (2025) — Nigerian crypto user survey. https://link.springer.com/article/10.1007/s44257-025-00045-2</w:t>
      </w:r>
    </w:p>
    <w:p>
      <w:pPr>
        <w:spacing w:after="60" w:line="264"/>
        <w:ind w:left="360" w:hanging="360"/>
      </w:pPr>
      <w:r>
        <w:rPr>
          <w:sz w:val="22"/>
          <w:szCs w:val="22"/>
        </w:rPr>
        <w:t xml:space="preserve">9. KPMG Nigeria (Mar 2025) — Crypto Risk and Opportunities: A New Banking Paradigm. https://assets.kpmg.com/content/dam/kpmg/ng/pdf/2025/03/Crypto%20Risk%20and%20Opportunities_A_New%20Banking%20Paradigm%20March%2010%20update.pdf</w:t>
      </w:r>
    </w:p>
    <w:p>
      <w:pPr>
        <w:spacing w:after="60" w:line="264"/>
        <w:ind w:left="360" w:hanging="360"/>
      </w:pPr>
      <w:r>
        <w:rPr>
          <w:sz w:val="22"/>
          <w:szCs w:val="22"/>
        </w:rPr>
        <w:t xml:space="preserve">10. DataReportal (Feb 2025) — Digital 2025: Nigeria. https://datareportal.com/reports/digital-2025-nigeria</w:t>
      </w:r>
    </w:p>
    <w:p>
      <w:pPr>
        <w:spacing w:after="60" w:line="264"/>
        <w:ind w:left="360" w:hanging="360"/>
      </w:pPr>
      <w:r>
        <w:rPr>
          <w:sz w:val="22"/>
          <w:szCs w:val="22"/>
        </w:rPr>
        <w:t xml:space="preserve">11. Nairametrics (Dec 2024) — Exchange rate ends 2024 at ₦1,535/$1, marking a 40.9% depreciation. https://nairametrics.com/2024/12/31/exchange-rate-ends-2024-at-n1535-1-marking-a-40-9-depreciation/</w:t>
      </w:r>
    </w:p>
    <w:p>
      <w:pPr>
        <w:spacing w:after="60" w:line="264"/>
        <w:ind w:left="360" w:hanging="360"/>
      </w:pPr>
      <w:r>
        <w:rPr>
          <w:sz w:val="22"/>
          <w:szCs w:val="22"/>
        </w:rPr>
        <w:t xml:space="preserve">12. Businessday (Mar 2024) — Binance bails out of naira operations after clampdown. https://businessday.ng/news/article/binance-bails-out-of-naira-operations-after-clampdown/</w:t>
      </w:r>
    </w:p>
    <w:p>
      <w:pPr>
        <w:spacing w:after="60" w:line="264"/>
        <w:ind w:left="360" w:hanging="360"/>
      </w:pPr>
      <w:r>
        <w:rPr>
          <w:sz w:val="22"/>
          <w:szCs w:val="22"/>
        </w:rPr>
        <w:t xml:space="preserve">13. Cointelegraph (May 2024) — Nigeria to delist naira from P2P platforms. https://cointelegraph.com/news/nigeria-ban-crypto-p2p-exchange</w:t>
      </w:r>
    </w:p>
    <w:p>
      <w:pPr>
        <w:spacing w:after="60" w:line="264"/>
        <w:ind w:left="360" w:hanging="360"/>
      </w:pPr>
      <w:r>
        <w:rPr>
          <w:sz w:val="22"/>
          <w:szCs w:val="22"/>
        </w:rPr>
        <w:t xml:space="preserve">14. TechCabal (May 2025) — The Investments and Securities Act 2025, explained. https://techcabal.com/2025/05/09/investments-and-securities-act-nigeria-2025/</w:t>
      </w:r>
    </w:p>
    <w:p>
      <w:pPr>
        <w:spacing w:after="60" w:line="264"/>
        <w:ind w:left="360" w:hanging="360"/>
      </w:pPr>
      <w:r>
        <w:rPr>
          <w:sz w:val="22"/>
          <w:szCs w:val="22"/>
        </w:rPr>
        <w:t xml:space="preserve">15. Punch (Apr 2025) — Ponzi scams: CBEX crash highlights need for public awareness, investment regulation. https://punchng.com/ponzi-scams-cbex-crash-highlights-need-for-public-awareness-investment-regulation/</w:t>
      </w:r>
    </w:p>
    <w:p>
      <w:pPr>
        <w:spacing w:after="60" w:line="264"/>
        <w:ind w:left="360" w:hanging="360"/>
      </w:pPr>
      <w:r>
        <w:rPr>
          <w:sz w:val="22"/>
          <w:szCs w:val="22"/>
        </w:rPr>
        <w:t xml:space="preserve">16. SEC Nigeria (2022) — New Rules on Issuance, Offering Platforms and Custody of Digital Assets. https://sec.gov.ng/documents/8/Rules-on-Issuance-Offering-and-Custody-of-Digital-Assets.pdf</w:t>
      </w:r>
    </w:p>
    <w:p>
      <w:pPr>
        <w:spacing w:after="60" w:line="264"/>
        <w:ind w:left="360" w:hanging="360"/>
      </w:pPr>
      <w:r>
        <w:rPr>
          <w:sz w:val="22"/>
          <w:szCs w:val="22"/>
        </w:rPr>
        <w:t xml:space="preserve">17. TechCabal (Jan 2026) — SEC sets ₦2 billion minimum capital for exchanges. https://techcabal.com/2026/01/16/sec-2-billion-minimum-capital-for-exchanges/</w:t>
      </w:r>
    </w:p>
    <w:p>
      <w:pPr>
        <w:spacing w:after="60" w:line="264"/>
        <w:ind w:left="360" w:hanging="360"/>
      </w:pPr>
      <w:r>
        <w:rPr>
          <w:sz w:val="22"/>
          <w:szCs w:val="22"/>
        </w:rPr>
        <w:t xml:space="preserve">18. SEC Nigeria (2024) — ARIP checklist for VASP onboarding. https://sec.gov.ng/about/resources/checklists/accelerated-regulatory-incubation-program-arip-checklist-for-vasp-onboarding/</w:t>
      </w:r>
    </w:p>
    <w:p>
      <w:pPr>
        <w:spacing w:after="60" w:line="264"/>
        <w:ind w:left="360" w:hanging="360"/>
      </w:pPr>
      <w:r>
        <w:rPr>
          <w:sz w:val="22"/>
          <w:szCs w:val="22"/>
        </w:rPr>
        <w:t xml:space="preserve">19. TechCabal (Aug 2024) — SEC grants first crypto licences (Busha, Quidax). https://techcabal.com/2024/08/29/sec-crypto-licences/</w:t>
      </w:r>
    </w:p>
    <w:p>
      <w:pPr>
        <w:spacing w:after="60" w:line="264"/>
        <w:ind w:left="360" w:hanging="360"/>
      </w:pPr>
      <w:r>
        <w:rPr>
          <w:sz w:val="22"/>
          <w:szCs w:val="22"/>
        </w:rPr>
        <w:t xml:space="preserve">20. Nairametrics (Jul 2026) — SEC grants Approval-in-Principle to 7 crypto firms under regulatory sandbox. http://nairametrics.com/2026/07/03/breaking-sec-grants-approval-in-principle-to-7-crypto-firms-under-regulatory-sandbox/</w:t>
      </w:r>
    </w:p>
    <w:p>
      <w:pPr>
        <w:spacing w:after="60" w:line="264"/>
        <w:ind w:left="360" w:hanging="360"/>
      </w:pPr>
      <w:r>
        <w:rPr>
          <w:sz w:val="22"/>
          <w:szCs w:val="22"/>
        </w:rPr>
        <w:t xml:space="preserve">21. Central Bank of Nigeria (Dec 2023) — Guidelines on Operations of Bank Accounts for Virtual Asset Service Providers. https://www.cbn.gov.ng/out/2024/fprd/guidelines%20on%20operations%20of%20bank%20accounts%20for%20virtual%20asset%20providers.pdf</w:t>
      </w:r>
    </w:p>
    <w:p>
      <w:pPr>
        <w:spacing w:after="60" w:line="264"/>
        <w:ind w:left="360" w:hanging="360"/>
      </w:pPr>
      <w:r>
        <w:rPr>
          <w:sz w:val="22"/>
          <w:szCs w:val="22"/>
        </w:rPr>
        <w:t xml:space="preserve">22. Technext (Apr 2026) — CBN pilot supervisory programme covers Flutterwave, Paystack and other VASP-related PSPs. https://technext24.com/2026/04/01/flutterwave-paystack-6-cbn-vasps/</w:t>
      </w:r>
    </w:p>
    <w:p>
      <w:pPr>
        <w:spacing w:after="60" w:line="264"/>
        <w:ind w:left="360" w:hanging="360"/>
      </w:pPr>
      <w:r>
        <w:rPr>
          <w:sz w:val="22"/>
          <w:szCs w:val="22"/>
        </w:rPr>
        <w:t xml:space="preserve">23. Forbes (Feb 2026) — What Nigeria's 2026 tax laws mean for bitcoin holders and VASPs. https://www.forbes.com/sites/digital-assets/2026/02/23/what-nigerias-2026-tax-laws-mean-for-bitcoin-holders-and-vasps/</w:t>
      </w:r>
    </w:p>
    <w:p>
      <w:pPr>
        <w:spacing w:after="60" w:line="264"/>
        <w:ind w:left="360" w:hanging="360"/>
      </w:pPr>
      <w:r>
        <w:rPr>
          <w:sz w:val="22"/>
          <w:szCs w:val="22"/>
        </w:rPr>
        <w:t xml:space="preserve">24. Technext (Oct 2025) — How Nigeria plans to tax crypto in 2026. https://technext24.com/2025/10/05/how-nigeria-plans-to-tax-crypto-2026/</w:t>
      </w:r>
    </w:p>
    <w:p>
      <w:pPr>
        <w:spacing w:after="60" w:line="264"/>
        <w:ind w:left="360" w:hanging="360"/>
      </w:pPr>
      <w:r>
        <w:rPr>
          <w:sz w:val="22"/>
          <w:szCs w:val="22"/>
        </w:rPr>
        <w:t xml:space="preserve">25. CoinDesk (Feb 2025) — Nigeria sues Binance for $81.5 billion in economic losses and back taxes. https://www.coindesk.com/policy/2025/02/20/nigeria-sues-binance-for-usd81-5-billion-in-economic-losses-and-back-taxes</w:t>
      </w:r>
    </w:p>
    <w:p>
      <w:pPr>
        <w:spacing w:after="60" w:line="264"/>
        <w:ind w:left="360" w:hanging="360"/>
      </w:pPr>
      <w:r>
        <w:rPr>
          <w:sz w:val="22"/>
          <w:szCs w:val="22"/>
        </w:rPr>
        <w:t xml:space="preserve">26. Future of Privacy Forum (2023) — Nigeria's new Data Protection Act, explained. https://fpf.org/blog/nigerias-new-data-protection-act-explained/</w:t>
      </w:r>
    </w:p>
    <w:p>
      <w:pPr>
        <w:spacing w:after="60" w:line="264"/>
        <w:ind w:left="360" w:hanging="360"/>
      </w:pPr>
      <w:r>
        <w:rPr>
          <w:sz w:val="22"/>
          <w:szCs w:val="22"/>
        </w:rPr>
        <w:t xml:space="preserve">27. ANQA Compliance (2025) — Nigeria AML / GIABA overview. https://www.anqacompliance.com/nigeria-aml-giaba/</w:t>
      </w:r>
    </w:p>
    <w:p>
      <w:pPr>
        <w:spacing w:after="60" w:line="264"/>
        <w:ind w:left="360" w:hanging="360"/>
      </w:pPr>
      <w:r>
        <w:rPr>
          <w:sz w:val="22"/>
          <w:szCs w:val="22"/>
        </w:rPr>
        <w:t xml:space="preserve">28. Youverify (2026) — CBN KYC/AML requirements. https://youverify.co/en/blogs/cbn-kyc-aml-requirements-2026</w:t>
      </w:r>
    </w:p>
    <w:p>
      <w:pPr>
        <w:spacing w:after="60" w:line="264"/>
        <w:ind w:left="360" w:hanging="360"/>
      </w:pPr>
      <w:r>
        <w:rPr>
          <w:sz w:val="22"/>
          <w:szCs w:val="22"/>
        </w:rPr>
        <w:t xml:space="preserve">29. WeeTracker (Sep 2025) — Inside Nigeria's $2B gift card economy. https://weetracker.com/2025/09/09/inside-nigerias-usd-2-b-gift-card-economy-from-liquidity-fix-to-fintech-feature/</w:t>
      </w:r>
    </w:p>
    <w:p>
      <w:pPr>
        <w:spacing w:after="60" w:line="264"/>
        <w:ind w:left="360" w:hanging="360"/>
      </w:pPr>
      <w:r>
        <w:rPr>
          <w:sz w:val="22"/>
          <w:szCs w:val="22"/>
        </w:rPr>
        <w:t xml:space="preserve">30. Goldsmiths LLP (2024) — How to obtain a Payment Solution Service Provider licence in Nigeria. https://www.goldsmithsllp.com/how-to-obtain-a-payment-solution-service-providers-licence-in-nigeria/</w:t>
      </w:r>
    </w:p>
    <w:p>
      <w:pPr>
        <w:spacing w:after="60" w:line="264"/>
        <w:ind w:left="360" w:hanging="360"/>
      </w:pPr>
      <w:r>
        <w:rPr>
          <w:sz w:val="22"/>
          <w:szCs w:val="22"/>
        </w:rPr>
        <w:t xml:space="preserve">31. BitKE (Jun 2025) — How Busha grew despite regulatory challenges. https://bitcoinke.io/2025/06/how-busha-grew-despite-regulatory-challenges/</w:t>
      </w:r>
    </w:p>
    <w:p>
      <w:pPr>
        <w:spacing w:after="60" w:line="264"/>
        <w:ind w:left="360" w:hanging="360"/>
      </w:pPr>
      <w:r>
        <w:rPr>
          <w:sz w:val="22"/>
          <w:szCs w:val="22"/>
        </w:rPr>
        <w:t xml:space="preserve">32. nairaCompare (2025) — Quidax fees and licensing comparison. https://nairacompare.ng/blogs/quidax-now-available-on-nairacompare-compare-nigerias-first-sec-licensed-crypto-exchange</w:t>
      </w:r>
    </w:p>
    <w:p>
      <w:pPr>
        <w:spacing w:after="60" w:line="264"/>
        <w:ind w:left="360" w:hanging="360"/>
      </w:pPr>
      <w:r>
        <w:rPr>
          <w:sz w:val="22"/>
          <w:szCs w:val="22"/>
        </w:rPr>
        <w:t xml:space="preserve">33. Roqqu via Medium (May 2025) — Why Roqqu is the fastest growing crypto exchange in Nigeria (self-reported figures). https://medium.com/@roqqupay/why-roqqu-is-the-fastest-growing-crypto-exchange-in-nigeria-dbecdf047ac5</w:t>
      </w:r>
    </w:p>
    <w:p>
      <w:pPr>
        <w:spacing w:after="60" w:line="264"/>
        <w:ind w:left="360" w:hanging="360"/>
      </w:pPr>
      <w:r>
        <w:rPr>
          <w:sz w:val="22"/>
          <w:szCs w:val="22"/>
        </w:rPr>
        <w:t xml:space="preserve">34. TechCrunch (Oct 2024) — Yellow Card raises $33M Series C to scale its B2B pivot. https://techcrunch.com/2024/10/16/african-crypto-startup-yellow-card-raises-33m-led-by-blockchain-capital-to-scale-its-b2b-pivot/</w:t>
      </w:r>
    </w:p>
    <w:p>
      <w:pPr>
        <w:spacing w:after="60" w:line="264"/>
        <w:ind w:left="360" w:hanging="360"/>
      </w:pPr>
      <w:r>
        <w:rPr>
          <w:sz w:val="22"/>
          <w:szCs w:val="22"/>
        </w:rPr>
        <w:t xml:space="preserve">35. The Condia (2025) — Yellow Card shuts down retail consumer app. https://thecondia.com/yellow-card-shutdown-retail-consumer-app-stablecoin/</w:t>
      </w:r>
    </w:p>
    <w:p>
      <w:pPr>
        <w:spacing w:after="60" w:line="264"/>
        <w:ind w:left="360" w:hanging="360"/>
      </w:pPr>
      <w:r>
        <w:rPr>
          <w:sz w:val="22"/>
          <w:szCs w:val="22"/>
        </w:rPr>
        <w:t xml:space="preserve">36. Luno Help Centre (2026) — Luno fees and limits in Nigeria. https://guide.luno.com/hc/en-gb/articles/14962563616157-Luno-fees-and-limits-in-Nigeria</w:t>
      </w:r>
    </w:p>
    <w:p>
      <w:pPr>
        <w:spacing w:after="60" w:line="264"/>
        <w:ind w:left="360" w:hanging="360"/>
      </w:pPr>
      <w:r>
        <w:rPr>
          <w:sz w:val="22"/>
          <w:szCs w:val="22"/>
        </w:rPr>
        <w:t xml:space="preserve">37. Finextra (Feb 2024) — Luno introduces monthly proof-of-reserves. https://www.finextra.com/pressarticle/99680/luno-introduces-monthly-proof-of-reserve-to-demonstrate-safe-custody-of-customers-assets</w:t>
      </w:r>
    </w:p>
    <w:p>
      <w:pPr>
        <w:spacing w:after="60" w:line="264"/>
        <w:ind w:left="360" w:hanging="360"/>
      </w:pPr>
      <w:r>
        <w:rPr>
          <w:sz w:val="22"/>
          <w:szCs w:val="22"/>
        </w:rPr>
        <w:t xml:space="preserve">38. TechCabal (Nov 2025) — Obiex says it is profitable, eyes expansion. https://techcabal.com/2025/11/12/obiex-says-it-is-profitable-eyes-expansion/</w:t>
      </w:r>
    </w:p>
    <w:p>
      <w:pPr>
        <w:spacing w:after="60" w:line="264"/>
        <w:ind w:left="360" w:hanging="360"/>
      </w:pPr>
      <w:r>
        <w:rPr>
          <w:sz w:val="22"/>
          <w:szCs w:val="22"/>
        </w:rPr>
        <w:t xml:space="preserve">39. Techpoint Africa (2025) — Binance, Bybit and P2P dominate ~90% of Nigeria's centralized crypto activity. https://techpoint.africa/news/binance-dominate-nigeria-crypto/</w:t>
      </w:r>
    </w:p>
    <w:p>
      <w:pPr>
        <w:spacing w:after="60" w:line="264"/>
        <w:ind w:left="360" w:hanging="360"/>
      </w:pPr>
      <w:r>
        <w:rPr>
          <w:sz w:val="22"/>
          <w:szCs w:val="22"/>
        </w:rPr>
        <w:t xml:space="preserve">40. Wikipedia (2026) — Cardtonic. https://en.wikipedia.org/wiki/Cardtonic</w:t>
      </w:r>
    </w:p>
    <w:p>
      <w:pPr>
        <w:spacing w:after="60" w:line="264"/>
        <w:ind w:left="360" w:hanging="360"/>
      </w:pPr>
      <w:r>
        <w:rPr>
          <w:sz w:val="22"/>
          <w:szCs w:val="22"/>
        </w:rPr>
        <w:t xml:space="preserve">41. Silicon Africa (2026) — Apps to trade gift cards in Nigeria (Prestmit figures). https://siliconafrica.org/apps-to-trade-gift-cards-nigeria/</w:t>
      </w:r>
    </w:p>
    <w:p>
      <w:pPr>
        <w:spacing w:after="60" w:line="264"/>
        <w:ind w:left="360" w:hanging="360"/>
      </w:pPr>
      <w:r>
        <w:rPr>
          <w:sz w:val="22"/>
          <w:szCs w:val="22"/>
        </w:rPr>
        <w:t xml:space="preserve">42. Cardtonic (2026) — Highest-rated gift card rates in Nigeria. https://cardtonic.com/read/highest-rated-gift-card-nigeria</w:t>
      </w:r>
    </w:p>
    <w:p>
      <w:pPr>
        <w:spacing w:after="60" w:line="264"/>
        <w:ind w:left="360" w:hanging="360"/>
      </w:pPr>
      <w:r>
        <w:rPr>
          <w:sz w:val="22"/>
          <w:szCs w:val="22"/>
        </w:rPr>
        <w:t xml:space="preserve">43. Innovation Village (2026) — Nigeria's fintech six: Moniepoint, OPay, PalmPay, Kuda, Carbon, FairMoney, 2021–2026. https://innovation-village.com/nigerias-fintech-six-how-moniepoint-opay-palmpay-kuda-carbon-and-fairmoney-have-fared-in-the-last-five-years-2021-2026/</w:t>
      </w:r>
    </w:p>
    <w:p>
      <w:pPr>
        <w:spacing w:after="60" w:line="264"/>
        <w:ind w:left="360" w:hanging="360"/>
      </w:pPr>
      <w:r>
        <w:rPr>
          <w:sz w:val="22"/>
          <w:szCs w:val="22"/>
        </w:rPr>
        <w:t xml:space="preserve">44. TechCabal (Aug 2025) — OPay and PalmPay lead ₦20trn mobile money boom. https://techcabal.com/2025/08/25/opay-palmpay-lead-20trn-mobile-money-boom/</w:t>
      </w:r>
    </w:p>
    <w:p>
      <w:pPr>
        <w:spacing w:after="60" w:line="264"/>
        <w:ind w:left="360" w:hanging="360"/>
      </w:pPr>
      <w:r>
        <w:rPr>
          <w:sz w:val="22"/>
          <w:szCs w:val="22"/>
        </w:rPr>
        <w:t xml:space="preserve">45. AInvest (Aug 2025) — Nigerian fintechs grapple with high inactivity after aggressive user growth. https://www.ainvest.com/news/nigeria-fintechs-grapple-high-inactivity-aggressive-user-growth-2508/</w:t>
      </w:r>
    </w:p>
    <w:p>
      <w:pPr>
        <w:spacing w:after="60" w:line="264"/>
        <w:ind w:left="360" w:hanging="360"/>
      </w:pPr>
      <w:r>
        <w:rPr>
          <w:sz w:val="22"/>
          <w:szCs w:val="22"/>
        </w:rPr>
        <w:t xml:space="preserve">46. TechCabal (Apr 2025) — CBEX Ponzi collapse in Nigeria. https://techcabal.com/2025/04/15/cbex-ponzi-collapse-nigeria/</w:t>
      </w:r>
    </w:p>
    <w:p>
      <w:pPr>
        <w:spacing w:after="60" w:line="264"/>
        <w:ind w:left="360" w:hanging="360"/>
      </w:pPr>
      <w:r>
        <w:rPr>
          <w:sz w:val="22"/>
          <w:szCs w:val="22"/>
        </w:rPr>
        <w:t xml:space="preserve">47. Techpoint Africa (2023) — How Patricia plans to pay customers back. https://techpoint.africa/insight/how-patricia-plans-to-pay-customers-back/</w:t>
      </w:r>
    </w:p>
    <w:p>
      <w:pPr>
        <w:spacing w:after="60" w:line="264"/>
        <w:ind w:left="360" w:hanging="360"/>
      </w:pPr>
      <w:r>
        <w:rPr>
          <w:sz w:val="22"/>
          <w:szCs w:val="22"/>
        </w:rPr>
        <w:t xml:space="preserve">48. TechCrunch (Nov 2022) — FTX processed billions monthly in Africa before going bust. https://techcrunch.com/2022/11/21/ftx-processed-billions-monthly-in-africa-before-going-bust/</w:t>
      </w:r>
    </w:p>
    <w:p>
      <w:pPr>
        <w:spacing w:after="60" w:line="264"/>
        <w:ind w:left="360" w:hanging="360"/>
      </w:pPr>
      <w:r>
        <w:rPr>
          <w:sz w:val="22"/>
          <w:szCs w:val="22"/>
        </w:rPr>
        <w:t xml:space="preserve">49. NIBSS (2026) — Digital payment fraud drops 51% to ₦25.85B in 2025. https://nibss-plc.com.ng/nibss-digital-payment-fraud-drops-51-to-%E2%82%A625-85b-in-2025/</w:t>
      </w:r>
    </w:p>
    <w:p>
      <w:pPr>
        <w:spacing w:after="60" w:line="264"/>
        <w:ind w:left="360" w:hanging="360"/>
      </w:pPr>
      <w:r>
        <w:rPr>
          <w:sz w:val="22"/>
          <w:szCs w:val="22"/>
        </w:rPr>
        <w:t xml:space="preserve">50. Ledger Insights (Feb 2025) — Nigeria's regulated stablecoin cNGN launches. https://www.ledgerinsights.com/nigerias-regulated-stablecoin-cngn-launches/</w:t>
      </w:r>
    </w:p>
    <w:p>
      <w:pPr>
        <w:spacing w:after="60" w:line="264"/>
        <w:ind w:left="360" w:hanging="360"/>
      </w:pPr>
      <w:r>
        <w:rPr>
          <w:sz w:val="22"/>
          <w:szCs w:val="22"/>
        </w:rPr>
        <w:t xml:space="preserve">51. MobileVTU — Become a VTU agent (wholesale margin schedule). https://mobilevtu.com/become-vtu-agent.php</w:t>
      </w:r>
    </w:p>
    <w:p>
      <w:pPr>
        <w:spacing w:after="60" w:line="264"/>
        <w:ind w:left="360" w:hanging="360"/>
      </w:pPr>
      <w:r>
        <w:rPr>
          <w:sz w:val="22"/>
          <w:szCs w:val="22"/>
        </w:rPr>
        <w:t xml:space="preserve">52. Trustpilot (2024–2026) — Roqqu customer reviews. https://www.trustpilot.com/review/app.roqqu.com</w:t>
      </w:r>
    </w:p>
    <w:p>
      <w:pPr>
        <w:spacing w:after="60" w:line="264"/>
        <w:ind w:left="360" w:hanging="360"/>
      </w:pPr>
      <w:r>
        <w:rPr>
          <w:sz w:val="22"/>
          <w:szCs w:val="22"/>
        </w:rPr>
        <w:t xml:space="preserve">53. Unleash NG (2026) — OPay referral code bonus structure. https://unleash.com.ng/opay-referral-code-bonus/</w:t>
      </w:r>
    </w:p>
    <w:p>
      <w:pPr>
        <w:spacing w:after="60" w:line="264"/>
        <w:ind w:left="360" w:hanging="360"/>
      </w:pPr>
      <w:r>
        <w:rPr>
          <w:sz w:val="22"/>
          <w:szCs w:val="22"/>
        </w:rPr>
        <w:t xml:space="preserve">54. Mondaq / Goldsmiths LLP (2025) — How VASPs can obtain licences in Nigeria. https://www.mondaq.com/nigeria/fin-tech/1695342/how-virtual-assets-service-providers-vasps-can-obtain-licenses-in-nigeria</w:t>
      </w:r>
    </w:p>
    <w:p>
      <w:pPr>
        <w:spacing w:after="60" w:line="264"/>
        <w:ind w:left="360" w:hanging="360"/>
      </w:pPr>
      <w:r>
        <w:rPr>
          <w:sz w:val="22"/>
          <w:szCs w:val="22"/>
        </w:rPr>
        <w:t xml:space="preserve">55. AndroidPols (Feb 2026) — OPay vs PalmPay: cashback and coupons compared. https://www.androidpols.com.ng/2026/02/opay-vs-palmpay-which-app-is-better-in.html</w:t>
      </w:r>
    </w:p>
    <w:p>
      <w:pPr>
        <w:spacing w:after="60" w:line="264"/>
        <w:ind w:left="360" w:hanging="360"/>
      </w:pPr>
      <w:r>
        <w:rPr>
          <w:sz w:val="22"/>
          <w:szCs w:val="22"/>
        </w:rPr>
        <w:t xml:space="preserve">56. Busha via Medium — Busha referral program. https://medium.com/busha/busha-referral-program-4c4698d9e5e5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7280"/>
        <w:sz w:val="18"/>
        <w:szCs w:val="18"/>
      </w:rPr>
      <w:t xml:space="preserve">Lentopay Exchange — Confidential  ·  Page </w:t>
    </w:r>
    <w:r>
      <w:rPr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6B7280"/>
        <w:sz w:val="18"/>
        <w:szCs w:val="18"/>
      </w:rPr>
      <w:t xml:space="preserve"> of </w:t>
    </w:r>
    <w:r>
      <w:rPr>
        <w:color w:val="6B7280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2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240"/>
      <w:outlineLvl w:val="0"/>
    </w:pPr>
    <w:rPr>
      <w:rFonts w:ascii="Arial" w:cs="Arial" w:eastAsia="Arial" w:hAnsi="Arial"/>
      <w:b/>
      <w:bCs/>
      <w:color w:val="2333D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40"/>
      <w:outlineLvl w:val="1"/>
    </w:pPr>
    <w:rPr>
      <w:rFonts w:ascii="Arial" w:cs="Arial" w:eastAsia="Arial" w:hAnsi="Arial"/>
      <w:b/>
      <w:bCs/>
      <w:color w:val="0A0E28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0A0E2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2026-07-08T13:54:38.305Z</dcterms:created>
  <dcterms:modified xsi:type="dcterms:W3CDTF">2026-07-08T13:54:38.306Z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