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C50F94" w:rsidRPr="00C50F94" w14:paraId="3DD866DB" w14:textId="77777777" w:rsidTr="00021779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000000" w:fill="44546A"/>
            <w:noWrap/>
            <w:vAlign w:val="bottom"/>
            <w:hideMark/>
          </w:tcPr>
          <w:p w14:paraId="6299B598" w14:textId="0432EB10" w:rsidR="00C50F94" w:rsidRPr="00C50F94" w:rsidRDefault="00C50F94" w:rsidP="00021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40"/>
                <w:szCs w:val="40"/>
                <w:lang w:eastAsia="en-GB"/>
                <w14:ligatures w14:val="none"/>
              </w:rPr>
            </w:pPr>
            <w:r w:rsidRPr="00C50F9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40"/>
                <w:szCs w:val="40"/>
                <w:lang w:eastAsia="en-GB"/>
                <w14:ligatures w14:val="none"/>
              </w:rPr>
              <w:t>Assumptions</w:t>
            </w:r>
            <w:r w:rsidRPr="00021779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40"/>
                <w:szCs w:val="40"/>
                <w:lang w:eastAsia="en-GB"/>
                <w14:ligatures w14:val="none"/>
              </w:rPr>
              <w:t>: THE GYM GROUP LBO MODEL</w:t>
            </w:r>
          </w:p>
        </w:tc>
      </w:tr>
      <w:tr w:rsidR="00C50F94" w:rsidRPr="00C50F94" w14:paraId="2AEA16A8" w14:textId="77777777" w:rsidTr="00021779">
        <w:trPr>
          <w:trHeight w:val="308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EA2D8" w14:textId="0EAD6485" w:rsidR="00C50F94" w:rsidRPr="00C50F94" w:rsidRDefault="00164A0B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t>V</w:t>
            </w:r>
          </w:p>
        </w:tc>
      </w:tr>
      <w:tr w:rsidR="00C50F94" w:rsidRPr="00C50F94" w14:paraId="07063D90" w14:textId="77777777" w:rsidTr="00021779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1581CA77" w14:textId="081CF785" w:rsidR="00021779" w:rsidRDefault="00021779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44AA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drawing>
                <wp:anchor distT="0" distB="0" distL="114300" distR="114300" simplePos="0" relativeHeight="251655680" behindDoc="1" locked="0" layoutInCell="1" allowOverlap="1" wp14:anchorId="070ED715" wp14:editId="56B7386B">
                  <wp:simplePos x="0" y="0"/>
                  <wp:positionH relativeFrom="column">
                    <wp:posOffset>1878330</wp:posOffset>
                  </wp:positionH>
                  <wp:positionV relativeFrom="paragraph">
                    <wp:posOffset>-10160</wp:posOffset>
                  </wp:positionV>
                  <wp:extent cx="3776345" cy="1446530"/>
                  <wp:effectExtent l="0" t="0" r="0" b="1270"/>
                  <wp:wrapTight wrapText="bothSides">
                    <wp:wrapPolygon edited="0">
                      <wp:start x="0" y="0"/>
                      <wp:lineTo x="0" y="21335"/>
                      <wp:lineTo x="21466" y="21335"/>
                      <wp:lineTo x="21466" y="0"/>
                      <wp:lineTo x="0" y="0"/>
                    </wp:wrapPolygon>
                  </wp:wrapTight>
                  <wp:docPr id="863593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593112" name="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703" r="1630" b="12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345" cy="1446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73EADE" w14:textId="067468ED" w:rsidR="00C50F94" w:rsidRPr="00C50F94" w:rsidRDefault="00164A0B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t>ENTRY</w:t>
            </w:r>
            <w:r w:rsidR="00C50F94" w:rsidRPr="00C50F9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t xml:space="preserve"> ($MM)</w:t>
            </w:r>
            <w:r w:rsidR="00344AAC" w:rsidRPr="00344AAC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</w:p>
        </w:tc>
      </w:tr>
      <w:tr w:rsidR="00C50F94" w:rsidRPr="00C50F94" w14:paraId="309EB578" w14:textId="77777777" w:rsidTr="00021779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BE75" w14:textId="4DC0C31D" w:rsidR="009B00B2" w:rsidRDefault="009B00B2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1CA46075" w14:textId="4B650B7F" w:rsidR="008B1557" w:rsidRDefault="00C50F94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0F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LTM EBITDA</w:t>
            </w:r>
            <w:r w:rsidRPr="00021779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Last Twelve Months EBITDA</w:t>
            </w:r>
            <w:r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-</w:t>
            </w:r>
            <w:r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earnings before interest, tax, depreciation &amp; amortization. This is your core profitability metric used to value the business. Here: £</w:t>
            </w:r>
            <w:r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87</w:t>
            </w:r>
            <w:r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M.</w:t>
            </w:r>
            <w:r w:rsidR="008B1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To capture a snapshot of the whole business I have not included the EBITDA ADJUSTED LESS RENT (47.7): the current EBITDA used to value the company (valuation of 669.04 million &amp; EV/EBITDA of 8.01) &gt; suggests EBITDA value currently used is 83 million.</w:t>
            </w:r>
          </w:p>
          <w:p w14:paraId="15747AFB" w14:textId="1495D891" w:rsidR="00C50F94" w:rsidRPr="00C50F94" w:rsidRDefault="008B1557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</w:t>
            </w:r>
          </w:p>
        </w:tc>
      </w:tr>
      <w:tr w:rsidR="00C50F94" w:rsidRPr="00C50F94" w14:paraId="6899DB1F" w14:textId="77777777" w:rsidTr="00021779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1854D" w14:textId="6BB081A6" w:rsidR="009B00B2" w:rsidRDefault="00C50F94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C50F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EBITDA M</w:t>
            </w:r>
            <w:r w:rsidR="00164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ULTIPLE</w:t>
            </w:r>
            <w:r w:rsidR="006F1931" w:rsidRPr="00344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:</w:t>
            </w:r>
            <w:r w:rsidR="006F1931" w:rsidRPr="006F1931">
              <w:t xml:space="preserve"> </w:t>
            </w:r>
            <w:r w:rsidR="006F1931" w:rsidRPr="00344AAC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The </w:t>
            </w:r>
            <w:r w:rsidR="006F1931"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purchase valuation multiple applied to LTM EBITDA. Here: </w:t>
            </w:r>
            <w:r w:rsidR="00021779"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  <w:r w:rsidR="006F1931"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.0x. It's how buyers determine the Enterprise Value (EV)</w:t>
            </w:r>
            <w:r w:rsidR="006F1931"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Average in the gym industry is 8.0x – 10.0x</w:t>
            </w:r>
            <w:r w:rsidR="00021779"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however imo </w:t>
            </w:r>
          </w:p>
          <w:p w14:paraId="431A0E4C" w14:textId="128B3A98" w:rsidR="00C50F94" w:rsidRDefault="00021779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7929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9x</w:t>
            </w:r>
            <w:r w:rsidRPr="00021779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is a safe assumption with a market leader such as the gym group.</w:t>
            </w:r>
          </w:p>
          <w:p w14:paraId="53A47E9B" w14:textId="1207D912" w:rsidR="009B00B2" w:rsidRPr="00C50F94" w:rsidRDefault="009B00B2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C50F94" w:rsidRPr="00C50F94" w14:paraId="269C434A" w14:textId="77777777" w:rsidTr="00021779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CB08" w14:textId="6FEC445B" w:rsidR="009B00B2" w:rsidRDefault="009B00B2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111B96C4" w14:textId="6276141A" w:rsidR="008B1557" w:rsidRPr="00C50F94" w:rsidRDefault="00164A0B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ENTERPRISE VALUE:</w:t>
            </w:r>
            <w:r w:rsidR="00344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344AAC" w:rsidRPr="008B1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Total value of the business before subtracting debt</w:t>
            </w:r>
            <w:r w:rsidR="008B1557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. Basically, LTM EBITDA x EBITDA MULTIPLE</w:t>
            </w:r>
            <w:r w:rsidR="009B00B2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 xml:space="preserve"> (783) &gt; around triple its market cap suggesting the business is highly leveraged and therefore has a higher risk and reward ratio.</w:t>
            </w:r>
          </w:p>
          <w:p w14:paraId="77028A5B" w14:textId="2DB9F87E" w:rsidR="008B1557" w:rsidRPr="00C50F94" w:rsidRDefault="008B1557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717813CB" w14:textId="36B5873C" w:rsidR="00C50F94" w:rsidRPr="00C50F94" w:rsidRDefault="00C50F94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C50F94" w:rsidRPr="00C50F94" w14:paraId="2AA56143" w14:textId="77777777" w:rsidTr="00021779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B2DEE" w14:textId="7BC37B52" w:rsidR="00EB6CC3" w:rsidRPr="00EB6CC3" w:rsidRDefault="00EB6CC3" w:rsidP="00EB6C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B6C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drawing>
                <wp:anchor distT="0" distB="0" distL="114300" distR="114300" simplePos="0" relativeHeight="251658752" behindDoc="1" locked="0" layoutInCell="1" allowOverlap="1" wp14:anchorId="79554CA4" wp14:editId="071C60AA">
                  <wp:simplePos x="0" y="0"/>
                  <wp:positionH relativeFrom="column">
                    <wp:posOffset>4701540</wp:posOffset>
                  </wp:positionH>
                  <wp:positionV relativeFrom="paragraph">
                    <wp:posOffset>-64135</wp:posOffset>
                  </wp:positionV>
                  <wp:extent cx="2710815" cy="2263775"/>
                  <wp:effectExtent l="0" t="0" r="0" b="3175"/>
                  <wp:wrapTight wrapText="bothSides">
                    <wp:wrapPolygon edited="0">
                      <wp:start x="0" y="0"/>
                      <wp:lineTo x="0" y="21449"/>
                      <wp:lineTo x="21403" y="21449"/>
                      <wp:lineTo x="21403" y="0"/>
                      <wp:lineTo x="0" y="0"/>
                    </wp:wrapPolygon>
                  </wp:wrapTight>
                  <wp:docPr id="1416359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359167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815" cy="226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50F94" w:rsidRPr="00C50F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</w:t>
            </w:r>
            <w:r w:rsidR="00164A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XISTING NET DEBT</w:t>
            </w:r>
            <w:r w:rsidR="009B00B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61 million </w:t>
            </w:r>
            <w:r w:rsidRPr="00EB6C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That’s the number the company themselves defines and uses for:</w:t>
            </w:r>
          </w:p>
          <w:p w14:paraId="1CFDCEEB" w14:textId="77777777" w:rsidR="00EB6CC3" w:rsidRPr="00EB6CC3" w:rsidRDefault="00EB6CC3" w:rsidP="00EB6CC3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B6C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Adjusted leverage (1.3x)</w:t>
            </w:r>
          </w:p>
          <w:p w14:paraId="4FF7BD79" w14:textId="77777777" w:rsidR="00EB6CC3" w:rsidRPr="00EB6CC3" w:rsidRDefault="00EB6CC3" w:rsidP="00EB6CC3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B6C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Debt repayment calculation</w:t>
            </w:r>
          </w:p>
          <w:p w14:paraId="6E2CBC52" w14:textId="77777777" w:rsidR="00EB6CC3" w:rsidRPr="00EB6CC3" w:rsidRDefault="00EB6CC3" w:rsidP="00EB6CC3"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EB6C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EV-to-equity bridge:</w:t>
            </w:r>
            <w:r w:rsidRPr="00EB6CC3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br/>
              <w:t>Equity Value = Enterprise Value – Net Debt = EV – £61.3M</w:t>
            </w:r>
          </w:p>
          <w:p w14:paraId="53CE4121" w14:textId="45418F2C" w:rsidR="00C50F94" w:rsidRPr="00C50F94" w:rsidRDefault="00C50F94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C50F94" w:rsidRPr="00C50F94" w14:paraId="487C985F" w14:textId="77777777" w:rsidTr="00021779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0BC0" w14:textId="23EC0E1E" w:rsidR="00C50F94" w:rsidRPr="00C50F94" w:rsidRDefault="00792950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7929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EQUITY VALUE:</w:t>
            </w:r>
            <w:r w:rsidRPr="007929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Enterprise value – Existing Net Debt. Basically, just shows how much of the payment will have to be made without debt and with equity. </w:t>
            </w:r>
            <w:r w:rsidRPr="007929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The amount the buyer must pay to acquire the company’s equity = EV - Net Debt</w:t>
            </w:r>
          </w:p>
        </w:tc>
      </w:tr>
      <w:tr w:rsidR="00792950" w:rsidRPr="00C50F94" w14:paraId="7919013E" w14:textId="77777777" w:rsidTr="00B85D01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CD5F" w14:textId="77777777" w:rsidR="00792950" w:rsidRDefault="00792950" w:rsidP="00B85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5E658E82" w14:textId="482B2D4D" w:rsidR="00792950" w:rsidRPr="00C50F94" w:rsidRDefault="00792950" w:rsidP="00B85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lastRenderedPageBreak/>
              <w:t>FEES AND EXPENSES</w:t>
            </w:r>
            <w:r w:rsidRPr="007929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:  2% of ENTERPIRSE value&gt; 2% of 783 = 15 | One-time transaction costs (legal, advisory, underwriting). Estimated at £10M — often 2–3% of EV. Included in total funding.</w:t>
            </w:r>
          </w:p>
        </w:tc>
      </w:tr>
      <w:tr w:rsidR="00C50F94" w:rsidRPr="00C50F94" w14:paraId="582A8893" w14:textId="77777777" w:rsidTr="00792950">
        <w:trPr>
          <w:trHeight w:val="70"/>
        </w:trPr>
        <w:tc>
          <w:tcPr>
            <w:tcW w:w="10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CD59" w14:textId="77777777" w:rsidR="00C50F94" w:rsidRPr="00C50F94" w:rsidRDefault="00C50F94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C50F94" w:rsidRPr="00C50F94" w14:paraId="406704FC" w14:textId="77777777" w:rsidTr="00BF177F">
        <w:trPr>
          <w:trHeight w:val="893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2C666EA" w14:textId="49BD2A6B" w:rsidR="00C50F94" w:rsidRPr="00C50F94" w:rsidRDefault="00164A0B" w:rsidP="00C50F9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t>EXIT</w:t>
            </w:r>
            <w:r w:rsidR="00C50F94" w:rsidRPr="00C50F9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  <w:lang w:eastAsia="en-GB"/>
                <w14:ligatures w14:val="none"/>
              </w:rPr>
              <w:t xml:space="preserve"> ($MM)</w:t>
            </w:r>
          </w:p>
        </w:tc>
      </w:tr>
      <w:tr w:rsidR="00C50F94" w:rsidRPr="00C50F94" w14:paraId="1BDF066A" w14:textId="77777777" w:rsidTr="00BF177F">
        <w:trPr>
          <w:trHeight w:val="893"/>
        </w:trPr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7687A" w14:textId="77777777" w:rsidR="00C50F94" w:rsidRDefault="00C50F94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50F9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EBITDA </w:t>
            </w:r>
            <w:r w:rsidR="00792950" w:rsidRPr="0079295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MULTIPLE</w:t>
            </w:r>
            <w:r w:rsidR="00792950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: to keep it conservative and not have massive spikes in the IRR keep EBITDA multiple at exit the same and entry. SO, 9.0x</w:t>
            </w:r>
          </w:p>
          <w:p w14:paraId="4B3719A1" w14:textId="1EACC77F" w:rsidR="001F1E8A" w:rsidRPr="00C50F94" w:rsidRDefault="001F1E8A" w:rsidP="00C50F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</w:tbl>
    <w:p w14:paraId="44B6600C" w14:textId="77777777" w:rsidR="00462602" w:rsidRDefault="00462602" w:rsidP="00C50F94">
      <w:pPr>
        <w:rPr>
          <w:sz w:val="32"/>
          <w:szCs w:val="32"/>
        </w:rPr>
      </w:pPr>
    </w:p>
    <w:tbl>
      <w:tblPr>
        <w:tblW w:w="10046" w:type="dxa"/>
        <w:tblLook w:val="04A0" w:firstRow="1" w:lastRow="0" w:firstColumn="1" w:lastColumn="0" w:noHBand="0" w:noVBand="1"/>
      </w:tblPr>
      <w:tblGrid>
        <w:gridCol w:w="10046"/>
      </w:tblGrid>
      <w:tr w:rsidR="00344AAC" w:rsidRPr="00344AAC" w14:paraId="48BB3F35" w14:textId="77777777" w:rsidTr="00BF177F">
        <w:trPr>
          <w:trHeight w:val="625"/>
        </w:trPr>
        <w:tc>
          <w:tcPr>
            <w:tcW w:w="10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14:paraId="7763BF9F" w14:textId="63199061" w:rsidR="00344AAC" w:rsidRPr="00344AAC" w:rsidRDefault="001B7C1A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28"/>
                <w:szCs w:val="28"/>
                <w:u w:val="single"/>
                <w:lang w:eastAsia="en-GB"/>
                <w14:ligatures w14:val="none"/>
              </w:rPr>
            </w:pPr>
            <w:r w:rsidRPr="00BF177F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sz w:val="32"/>
                <w:szCs w:val="32"/>
                <w:u w:val="single"/>
                <w:lang w:eastAsia="en-GB"/>
                <w14:ligatures w14:val="none"/>
              </w:rPr>
              <w:t>FINANCIAL</w:t>
            </w:r>
          </w:p>
        </w:tc>
      </w:tr>
      <w:tr w:rsidR="00344AAC" w:rsidRPr="00344AAC" w14:paraId="5FF46FA6" w14:textId="77777777" w:rsidTr="00344AAC">
        <w:trPr>
          <w:trHeight w:val="625"/>
        </w:trPr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A540" w14:textId="33A918D4" w:rsidR="00344AAC" w:rsidRPr="00344AAC" w:rsidRDefault="001B7C1A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LTM FINANCIAS</w:t>
            </w:r>
          </w:p>
        </w:tc>
      </w:tr>
      <w:tr w:rsidR="00344AAC" w:rsidRPr="00344AAC" w14:paraId="33126A25" w14:textId="77777777" w:rsidTr="00344AAC">
        <w:trPr>
          <w:trHeight w:val="625"/>
        </w:trPr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0544" w14:textId="77777777" w:rsidR="0045568A" w:rsidRDefault="0045568A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3F6C269F" w14:textId="0F076B24" w:rsidR="00344AAC" w:rsidRPr="00344AAC" w:rsidRDefault="001B7C1A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REVENUE</w:t>
            </w:r>
            <w:r w:rsidR="004556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£226M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- 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Taken from Gym Group’s FY2024 annual report. Reflects full-year topline used to anchor growth assumptions and margin tracking.</w:t>
            </w:r>
          </w:p>
        </w:tc>
      </w:tr>
      <w:tr w:rsidR="00344AAC" w:rsidRPr="00344AAC" w14:paraId="7067EA43" w14:textId="77777777" w:rsidTr="00344AAC">
        <w:trPr>
          <w:trHeight w:val="625"/>
        </w:trPr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7A52" w14:textId="77777777" w:rsidR="0045568A" w:rsidRDefault="0045568A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647ED2C0" w14:textId="492F97C7" w:rsidR="00344AAC" w:rsidRPr="00344AAC" w:rsidRDefault="00344AAC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44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EBITDA</w:t>
            </w:r>
            <w:r w:rsidR="004556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: 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£87M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- 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This is the pre-rent adjusted EBITDA used for valuation purposes (i.e. EV/EBITDA multiple). It excludes one-offs and lease distortions under IFRS 16. This is the correct figure for entry/exit EV calculations in LBO models.</w:t>
            </w:r>
          </w:p>
        </w:tc>
      </w:tr>
      <w:tr w:rsidR="00344AAC" w:rsidRPr="00344AAC" w14:paraId="6A022885" w14:textId="77777777" w:rsidTr="00344AAC">
        <w:trPr>
          <w:trHeight w:val="625"/>
        </w:trPr>
        <w:tc>
          <w:tcPr>
            <w:tcW w:w="10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F54C" w14:textId="77777777" w:rsidR="0045568A" w:rsidRDefault="0045568A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5D92F65D" w14:textId="4C76451B" w:rsidR="00344AAC" w:rsidRPr="00344AAC" w:rsidRDefault="00344AAC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44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D&amp;A</w:t>
            </w:r>
            <w:r w:rsidR="004556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:</w:t>
            </w:r>
            <w:r w:rsidR="0045568A" w:rsidRPr="004556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£60M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- </w:t>
            </w:r>
            <w:r w:rsidR="0045568A" w:rsidRPr="0045568A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Pulled from the statutory line: “Depreciation, amortisation and impairment” in the FY2024 report. This is a recurring non-cash charge aligned with the capital intensity of a gym business.</w:t>
            </w:r>
          </w:p>
        </w:tc>
      </w:tr>
      <w:tr w:rsidR="00344AAC" w:rsidRPr="00344AAC" w14:paraId="0473C031" w14:textId="77777777" w:rsidTr="00BF177F">
        <w:trPr>
          <w:trHeight w:val="625"/>
        </w:trPr>
        <w:tc>
          <w:tcPr>
            <w:tcW w:w="10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A6D4" w14:textId="77777777" w:rsidR="001B7C1A" w:rsidRDefault="001B7C1A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6FD9753E" w14:textId="549F4A3E" w:rsidR="00344AAC" w:rsidRPr="00344AAC" w:rsidRDefault="00BF177F" w:rsidP="00344A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BF177F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drawing>
                <wp:anchor distT="0" distB="0" distL="114300" distR="114300" simplePos="0" relativeHeight="251662848" behindDoc="0" locked="0" layoutInCell="1" allowOverlap="1" wp14:anchorId="231838C5" wp14:editId="7FDFEDDD">
                  <wp:simplePos x="0" y="0"/>
                  <wp:positionH relativeFrom="column">
                    <wp:posOffset>1727835</wp:posOffset>
                  </wp:positionH>
                  <wp:positionV relativeFrom="paragraph">
                    <wp:posOffset>73025</wp:posOffset>
                  </wp:positionV>
                  <wp:extent cx="4954905" cy="2321560"/>
                  <wp:effectExtent l="0" t="0" r="0" b="2540"/>
                  <wp:wrapSquare wrapText="bothSides"/>
                  <wp:docPr id="1304864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86428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90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7C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CAPEX: </w:t>
            </w:r>
            <w:r w:rsidR="006A6B97" w:rsidRPr="006A6B9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I excluded the £27.8M of expansion </w:t>
            </w:r>
            <w:proofErr w:type="spellStart"/>
            <w:r w:rsidR="006A6B97" w:rsidRPr="006A6B9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CapEx</w:t>
            </w:r>
            <w:proofErr w:type="spellEnd"/>
            <w:r w:rsidR="006A6B97" w:rsidRPr="006A6B9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(new sites + tech &amp; data) from the base LBO case, as this would depend on the PE buyer’s growth strategy. My </w:t>
            </w:r>
            <w:proofErr w:type="spellStart"/>
            <w:r w:rsidR="006A6B97" w:rsidRPr="006A6B9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CapEx</w:t>
            </w:r>
            <w:proofErr w:type="spellEnd"/>
            <w:r w:rsidR="006A6B97" w:rsidRPr="006A6B9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input of £12.2M reflects the minimum reinvestment required to sustain performance.</w:t>
            </w:r>
            <w:r>
              <w:rPr>
                <w:noProof/>
              </w:rPr>
              <w:t xml:space="preserve"> </w:t>
            </w:r>
          </w:p>
        </w:tc>
      </w:tr>
      <w:tr w:rsidR="00344AAC" w:rsidRPr="00344AAC" w14:paraId="1D9500A0" w14:textId="77777777" w:rsidTr="00BF177F">
        <w:trPr>
          <w:trHeight w:val="625"/>
        </w:trPr>
        <w:tc>
          <w:tcPr>
            <w:tcW w:w="10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69FD" w14:textId="77777777" w:rsidR="006A6B97" w:rsidRDefault="006A6B97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254EB891" w14:textId="2BB04032" w:rsidR="006A6B97" w:rsidRPr="006A6B97" w:rsidRDefault="00344AAC" w:rsidP="006A6B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344AA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NWC</w:t>
            </w:r>
            <w:r w:rsidR="0045568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:</w:t>
            </w:r>
            <w:r w:rsidR="006A6B9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 </w:t>
            </w:r>
            <w:r w:rsidR="006A6B97" w:rsidRPr="006A6B9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 xml:space="preserve">£8.5 million - </w:t>
            </w:r>
            <w:r w:rsidR="006A6B97" w:rsidRPr="006A6B9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  <w:t>Pulled directly from cash flow statement as movement in working capital</w:t>
            </w:r>
          </w:p>
          <w:p w14:paraId="411BBAB6" w14:textId="53D2F64A" w:rsidR="006A6B97" w:rsidRPr="00344AAC" w:rsidRDefault="006A6B97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A6B97" w:rsidRPr="006A6B97" w14:paraId="4AE030E4" w14:textId="77777777" w:rsidTr="006A6B9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D6B4BA" w14:textId="77777777" w:rsidR="006A6B97" w:rsidRPr="006A6B97" w:rsidRDefault="006A6B97" w:rsidP="006A6B97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:sz w:val="28"/>
                      <w:szCs w:val="28"/>
                      <w:lang w:eastAsia="en-GB"/>
                      <w14:ligatures w14:val="none"/>
                    </w:rPr>
                  </w:pPr>
                </w:p>
              </w:tc>
            </w:tr>
          </w:tbl>
          <w:p w14:paraId="15C07532" w14:textId="77777777" w:rsidR="006A6B97" w:rsidRPr="006A6B97" w:rsidRDefault="006A6B97" w:rsidP="006A6B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vanish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  <w:p w14:paraId="67A0C43B" w14:textId="434820B6" w:rsidR="00344AAC" w:rsidRPr="00344AAC" w:rsidRDefault="00344AAC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344AAC" w:rsidRPr="00344AAC" w14:paraId="24A038EE" w14:textId="77777777" w:rsidTr="00BF177F">
        <w:trPr>
          <w:trHeight w:val="625"/>
        </w:trPr>
        <w:tc>
          <w:tcPr>
            <w:tcW w:w="1004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5B0E5" w14:textId="77777777" w:rsidR="00344AAC" w:rsidRPr="00344AAC" w:rsidRDefault="00344AAC" w:rsidP="00344A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</w:p>
        </w:tc>
      </w:tr>
      <w:tr w:rsidR="006A6B97" w:rsidRPr="00344AAC" w14:paraId="7E3B7844" w14:textId="77777777" w:rsidTr="00BF177F">
        <w:trPr>
          <w:trHeight w:val="625"/>
        </w:trPr>
        <w:tc>
          <w:tcPr>
            <w:tcW w:w="100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7A250" w14:textId="155D1BA0" w:rsidR="00BF177F" w:rsidRPr="00BF177F" w:rsidRDefault="00BF177F" w:rsidP="006A6B97">
            <w:pPr>
              <w:spacing w:after="0" w:line="240" w:lineRule="auto"/>
              <w:rPr>
                <w:rStyle w:val="Strong"/>
                <w:rFonts w:ascii="Calibri" w:hAnsi="Calibri" w:cs="Calibri"/>
                <w:b w:val="0"/>
                <w:bCs w:val="0"/>
                <w:i/>
                <w:iCs/>
                <w:sz w:val="32"/>
                <w:szCs w:val="32"/>
                <w:u w:val="single"/>
              </w:rPr>
            </w:pPr>
            <w:r w:rsidRPr="00BF177F"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OPERATING ASSUMPTIONS</w:t>
            </w:r>
            <w:r w:rsidRPr="00BF177F">
              <w:rPr>
                <w:rFonts w:ascii="Calibri" w:hAnsi="Calibri" w:cs="Calibri"/>
                <w:b/>
                <w:bCs/>
                <w:i/>
                <w:iCs/>
                <w:sz w:val="32"/>
                <w:szCs w:val="32"/>
                <w:u w:val="single"/>
              </w:rPr>
              <w:t>:</w:t>
            </w:r>
          </w:p>
          <w:p w14:paraId="103C7C7C" w14:textId="77777777" w:rsidR="00BF177F" w:rsidRDefault="00BF177F" w:rsidP="006A6B97">
            <w:pPr>
              <w:spacing w:after="0" w:line="240" w:lineRule="auto"/>
              <w:rPr>
                <w:rStyle w:val="Strong"/>
                <w:rFonts w:ascii="Calibri" w:hAnsi="Calibri" w:cs="Calibri"/>
                <w:sz w:val="28"/>
                <w:szCs w:val="28"/>
              </w:rPr>
            </w:pPr>
          </w:p>
          <w:p w14:paraId="31B4C021" w14:textId="0548A994" w:rsidR="006A6B97" w:rsidRPr="00344AAC" w:rsidRDefault="006A6B97" w:rsidP="006A6B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6A6B97">
              <w:rPr>
                <w:rStyle w:val="Strong"/>
                <w:rFonts w:ascii="Calibri" w:hAnsi="Calibri" w:cs="Calibri"/>
                <w:sz w:val="28"/>
                <w:szCs w:val="28"/>
              </w:rPr>
              <w:t>REVENUE GROWTH:</w:t>
            </w:r>
            <w:r w:rsidRPr="006A6B97">
              <w:rPr>
                <w:rFonts w:ascii="Calibri" w:hAnsi="Calibri" w:cs="Calibri"/>
                <w:sz w:val="28"/>
                <w:szCs w:val="28"/>
              </w:rPr>
              <w:t xml:space="preserve"> 8.0% Reflects FY2024 performance and Gym Group’s organic growth profile. Accounts for continued gym expansion and member growth momentum.</w:t>
            </w:r>
          </w:p>
        </w:tc>
      </w:tr>
      <w:tr w:rsidR="006A6B97" w:rsidRPr="00344AAC" w14:paraId="7232E4F0" w14:textId="77777777" w:rsidTr="00BF177F">
        <w:trPr>
          <w:trHeight w:val="625"/>
        </w:trPr>
        <w:tc>
          <w:tcPr>
            <w:tcW w:w="1004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A81D771" w14:textId="0FD45F7D" w:rsidR="006A6B97" w:rsidRPr="00344AAC" w:rsidRDefault="006A6B97" w:rsidP="006A6B97">
            <w:pPr>
              <w:spacing w:after="0" w:line="240" w:lineRule="auto"/>
              <w:rPr>
                <w:rFonts w:ascii="Calibri" w:hAnsi="Calibri" w:cs="Calibri"/>
                <w:sz w:val="28"/>
                <w:szCs w:val="28"/>
              </w:rPr>
            </w:pPr>
            <w:r w:rsidRPr="006A6B97">
              <w:rPr>
                <w:rStyle w:val="Strong"/>
                <w:rFonts w:ascii="Calibri" w:hAnsi="Calibri" w:cs="Calibri"/>
                <w:sz w:val="28"/>
                <w:szCs w:val="28"/>
              </w:rPr>
              <w:t>YoY MARGIN EXPANSION:</w:t>
            </w:r>
            <w:r w:rsidRPr="006A6B97">
              <w:rPr>
                <w:rFonts w:ascii="Calibri" w:hAnsi="Calibri" w:cs="Calibri"/>
                <w:sz w:val="28"/>
                <w:szCs w:val="28"/>
              </w:rPr>
              <w:t xml:space="preserve"> 1.0% Conservative uplift due to operating leverage and potential cost efficiency improvements. Validated by growing mature site ROIC.</w:t>
            </w:r>
          </w:p>
        </w:tc>
      </w:tr>
      <w:tr w:rsidR="006A6B97" w:rsidRPr="00344AAC" w14:paraId="14FE995D" w14:textId="77777777" w:rsidTr="00BF177F">
        <w:trPr>
          <w:trHeight w:val="625"/>
        </w:trPr>
        <w:tc>
          <w:tcPr>
            <w:tcW w:w="100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7F37370" w14:textId="77777777" w:rsidR="00BF177F" w:rsidRDefault="00BF177F" w:rsidP="006A6B97">
            <w:pPr>
              <w:spacing w:after="0" w:line="240" w:lineRule="auto"/>
              <w:rPr>
                <w:rStyle w:val="Strong"/>
                <w:rFonts w:ascii="Calibri" w:hAnsi="Calibri" w:cs="Calibri"/>
                <w:sz w:val="28"/>
                <w:szCs w:val="28"/>
              </w:rPr>
            </w:pPr>
          </w:p>
          <w:p w14:paraId="2585B1B1" w14:textId="4F9E536E" w:rsidR="006A6B97" w:rsidRPr="00344AAC" w:rsidRDefault="006A6B97" w:rsidP="006A6B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GB"/>
                <w14:ligatures w14:val="none"/>
              </w:rPr>
            </w:pPr>
            <w:r w:rsidRPr="006A6B97">
              <w:rPr>
                <w:rStyle w:val="Strong"/>
                <w:rFonts w:ascii="Calibri" w:hAnsi="Calibri" w:cs="Calibri"/>
                <w:sz w:val="28"/>
                <w:szCs w:val="28"/>
              </w:rPr>
              <w:t>TAX RATE:</w:t>
            </w:r>
            <w:r w:rsidRPr="006A6B97">
              <w:rPr>
                <w:rFonts w:ascii="Calibri" w:hAnsi="Calibri" w:cs="Calibri"/>
                <w:sz w:val="28"/>
                <w:szCs w:val="28"/>
              </w:rPr>
              <w:t xml:space="preserve"> 21.0% Reflects the effective corporate tax rate in the UK after adjusting for deductions and deferred tax impact. Used in FCF calculation post-EBIT.</w:t>
            </w:r>
          </w:p>
        </w:tc>
      </w:tr>
    </w:tbl>
    <w:p w14:paraId="4B56400A" w14:textId="77777777" w:rsidR="00344AAC" w:rsidRPr="00344AAC" w:rsidRDefault="00344AAC" w:rsidP="00C50F94">
      <w:pPr>
        <w:rPr>
          <w:sz w:val="40"/>
          <w:szCs w:val="40"/>
        </w:rPr>
      </w:pPr>
    </w:p>
    <w:sectPr w:rsidR="00344AAC" w:rsidRPr="0034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529FF"/>
    <w:multiLevelType w:val="multilevel"/>
    <w:tmpl w:val="974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24241"/>
    <w:multiLevelType w:val="multilevel"/>
    <w:tmpl w:val="D0DE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81091"/>
    <w:multiLevelType w:val="multilevel"/>
    <w:tmpl w:val="67D4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D6941"/>
    <w:multiLevelType w:val="multilevel"/>
    <w:tmpl w:val="516C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5819E5"/>
    <w:multiLevelType w:val="multilevel"/>
    <w:tmpl w:val="3D18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35284"/>
    <w:multiLevelType w:val="multilevel"/>
    <w:tmpl w:val="D04C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3B12BE"/>
    <w:multiLevelType w:val="multilevel"/>
    <w:tmpl w:val="4F8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72124">
    <w:abstractNumId w:val="1"/>
  </w:num>
  <w:num w:numId="2" w16cid:durableId="1190023257">
    <w:abstractNumId w:val="3"/>
  </w:num>
  <w:num w:numId="3" w16cid:durableId="2049600302">
    <w:abstractNumId w:val="5"/>
  </w:num>
  <w:num w:numId="4" w16cid:durableId="516507931">
    <w:abstractNumId w:val="0"/>
  </w:num>
  <w:num w:numId="5" w16cid:durableId="230383183">
    <w:abstractNumId w:val="6"/>
  </w:num>
  <w:num w:numId="6" w16cid:durableId="1401633019">
    <w:abstractNumId w:val="4"/>
  </w:num>
  <w:num w:numId="7" w16cid:durableId="59329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6C"/>
    <w:rsid w:val="00021779"/>
    <w:rsid w:val="00164A0B"/>
    <w:rsid w:val="001B7C1A"/>
    <w:rsid w:val="001F1E8A"/>
    <w:rsid w:val="00344AAC"/>
    <w:rsid w:val="0045568A"/>
    <w:rsid w:val="00462602"/>
    <w:rsid w:val="006A6B97"/>
    <w:rsid w:val="006F1931"/>
    <w:rsid w:val="00792950"/>
    <w:rsid w:val="008B1557"/>
    <w:rsid w:val="008B2070"/>
    <w:rsid w:val="008F3C23"/>
    <w:rsid w:val="009B00B2"/>
    <w:rsid w:val="00B164F7"/>
    <w:rsid w:val="00BF177F"/>
    <w:rsid w:val="00C50F94"/>
    <w:rsid w:val="00EB6CC3"/>
    <w:rsid w:val="00F2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D5097"/>
  <w15:chartTrackingRefBased/>
  <w15:docId w15:val="{F8D34E3B-2DAC-4AD5-8DF4-B19F37FD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D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6CC3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A6B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elwon</dc:creator>
  <cp:keywords/>
  <dc:description/>
  <cp:lastModifiedBy>moses elwon</cp:lastModifiedBy>
  <cp:revision>2</cp:revision>
  <dcterms:created xsi:type="dcterms:W3CDTF">2025-07-13T14:39:00Z</dcterms:created>
  <dcterms:modified xsi:type="dcterms:W3CDTF">2025-07-13T14:39:00Z</dcterms:modified>
</cp:coreProperties>
</file>