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1E1A3" w14:textId="4BDF1C11" w:rsidR="006E70C4" w:rsidRPr="00CF507A" w:rsidRDefault="006E70C4" w:rsidP="00CF507A">
      <w:pPr>
        <w:pStyle w:val="Heading1"/>
        <w:jc w:val="center"/>
        <w:rPr>
          <w:rStyle w:val="BookTitle"/>
        </w:rPr>
      </w:pPr>
      <w:r w:rsidRPr="00CF507A">
        <w:rPr>
          <w:rStyle w:val="BookTitle"/>
        </w:rPr>
        <w:t xml:space="preserve">Simulating Long-Term Portfolio Growth Using Monte Carlo </w:t>
      </w:r>
    </w:p>
    <w:p w14:paraId="1C29E57C" w14:textId="0C7187DA" w:rsidR="006E70C4" w:rsidRPr="006E70C4" w:rsidRDefault="00DE71BF" w:rsidP="00DE71BF">
      <w:pPr>
        <w:jc w:val="center"/>
      </w:pPr>
      <w:r>
        <w:rPr>
          <w:b/>
          <w:bCs/>
        </w:rPr>
        <w:t>Produced</w:t>
      </w:r>
      <w:r w:rsidR="006E70C4" w:rsidRPr="006E70C4">
        <w:rPr>
          <w:b/>
          <w:bCs/>
        </w:rPr>
        <w:t xml:space="preserve"> by:</w:t>
      </w:r>
      <w:r w:rsidR="006E70C4" w:rsidRPr="006E70C4">
        <w:t xml:space="preserve"> Moses Elwo</w:t>
      </w:r>
      <w:r w:rsidR="00CF507A">
        <w:t>n</w:t>
      </w:r>
      <w:r w:rsidR="006E70C4" w:rsidRPr="006E70C4">
        <w:br/>
      </w:r>
      <w:r w:rsidR="006E70C4" w:rsidRPr="006E70C4">
        <w:rPr>
          <w:b/>
          <w:bCs/>
        </w:rPr>
        <w:t>Model Type:</w:t>
      </w:r>
      <w:r w:rsidR="006E70C4" w:rsidRPr="006E70C4">
        <w:t xml:space="preserve"> Monte Carlo Simulation</w:t>
      </w:r>
      <w:r w:rsidR="006E70C4" w:rsidRPr="006E70C4">
        <w:br/>
      </w:r>
      <w:r w:rsidR="006E70C4" w:rsidRPr="006E70C4">
        <w:rPr>
          <w:b/>
          <w:bCs/>
        </w:rPr>
        <w:t>Asset Focus:</w:t>
      </w:r>
      <w:r w:rsidR="006E70C4" w:rsidRPr="006E70C4">
        <w:t xml:space="preserve"> S&amp;P 500 Index</w:t>
      </w:r>
      <w:r w:rsidR="006E70C4" w:rsidRPr="006E70C4">
        <w:br/>
      </w:r>
      <w:r w:rsidR="006E70C4" w:rsidRPr="006E70C4">
        <w:rPr>
          <w:b/>
          <w:bCs/>
        </w:rPr>
        <w:t>Purpose:</w:t>
      </w:r>
      <w:r w:rsidR="006E70C4" w:rsidRPr="006E70C4">
        <w:t xml:space="preserve"> Estimate long-term portfolio outcomes under market uncertainty</w:t>
      </w:r>
    </w:p>
    <w:p w14:paraId="0E559387" w14:textId="77777777" w:rsidR="006E70C4" w:rsidRPr="006E70C4" w:rsidRDefault="00000000" w:rsidP="006E70C4">
      <w:r>
        <w:pict w14:anchorId="37DF8C65">
          <v:rect id="_x0000_i1026" style="width:0;height:1.5pt" o:hralign="center" o:hrstd="t" o:hr="t" fillcolor="#a0a0a0" stroked="f"/>
        </w:pict>
      </w:r>
    </w:p>
    <w:p w14:paraId="04094E7B" w14:textId="0C614DCB" w:rsidR="006E70C4" w:rsidRPr="006E70C4" w:rsidRDefault="006E70C4" w:rsidP="006E70C4">
      <w:pPr>
        <w:rPr>
          <w:b/>
          <w:bCs/>
        </w:rPr>
      </w:pPr>
      <w:r w:rsidRPr="006E70C4">
        <w:rPr>
          <w:b/>
          <w:bCs/>
        </w:rPr>
        <w:t>Objective</w:t>
      </w:r>
    </w:p>
    <w:p w14:paraId="74146D24" w14:textId="6494B1FA" w:rsidR="006E70C4" w:rsidRPr="006E70C4" w:rsidRDefault="006E70C4" w:rsidP="006E70C4">
      <w:r w:rsidRPr="006E70C4">
        <w:t>This model simulates the projecte</w:t>
      </w:r>
      <w:r w:rsidRPr="00CF507A">
        <w:t xml:space="preserve">d value of a retirement portfolio invested in the S&amp;P 500 over a 40-year horizon using Monte Carlo methods in Excel. </w:t>
      </w:r>
      <w:r w:rsidRPr="006E70C4">
        <w:t xml:space="preserve">The purpose is to evaluate the probabilistic range of potential outcomes, </w:t>
      </w:r>
      <w:r w:rsidR="00CF507A" w:rsidRPr="006E70C4">
        <w:t>considering</w:t>
      </w:r>
      <w:r w:rsidRPr="006E70C4">
        <w:t xml:space="preserve"> market volatility and random yearly returns, rather than relying on static averages.</w:t>
      </w:r>
    </w:p>
    <w:p w14:paraId="4EAC0194" w14:textId="77777777" w:rsidR="006E70C4" w:rsidRPr="006E70C4" w:rsidRDefault="00000000" w:rsidP="006E70C4">
      <w:r>
        <w:pict w14:anchorId="1619D2C4">
          <v:rect id="_x0000_i1027" style="width:0;height:1.5pt" o:hralign="center" o:hrstd="t" o:hr="t" fillcolor="#a0a0a0" stroked="f"/>
        </w:pict>
      </w:r>
    </w:p>
    <w:p w14:paraId="37C55C37" w14:textId="451A92A6" w:rsidR="006E70C4" w:rsidRPr="006E70C4" w:rsidRDefault="006E70C4" w:rsidP="006E70C4">
      <w:pPr>
        <w:rPr>
          <w:b/>
          <w:bCs/>
        </w:rPr>
      </w:pPr>
      <w:r w:rsidRPr="006E70C4">
        <w:rPr>
          <w:b/>
          <w:bCs/>
        </w:rPr>
        <w:t>Key Assumptions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3658"/>
      </w:tblGrid>
      <w:tr w:rsidR="006E70C4" w:rsidRPr="006E70C4" w14:paraId="61FF33EA" w14:textId="77777777" w:rsidTr="006E70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F6E77" w14:textId="77777777" w:rsidR="006E70C4" w:rsidRPr="006E70C4" w:rsidRDefault="006E70C4" w:rsidP="006E70C4">
            <w:pPr>
              <w:rPr>
                <w:b/>
                <w:bCs/>
              </w:rPr>
            </w:pPr>
            <w:r w:rsidRPr="006E70C4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2EDA5D2" w14:textId="77777777" w:rsidR="006E70C4" w:rsidRPr="006E70C4" w:rsidRDefault="006E70C4" w:rsidP="006E70C4">
            <w:pPr>
              <w:rPr>
                <w:b/>
                <w:bCs/>
              </w:rPr>
            </w:pPr>
            <w:r w:rsidRPr="006E70C4">
              <w:rPr>
                <w:b/>
                <w:bCs/>
              </w:rPr>
              <w:t>Assumption</w:t>
            </w:r>
          </w:p>
        </w:tc>
      </w:tr>
      <w:tr w:rsidR="006E70C4" w:rsidRPr="006E70C4" w14:paraId="6F4ABA15" w14:textId="77777777" w:rsidTr="006E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94EB" w14:textId="77777777" w:rsidR="006E70C4" w:rsidRPr="006E70C4" w:rsidRDefault="006E70C4" w:rsidP="00CF507A">
            <w:pPr>
              <w:jc w:val="center"/>
            </w:pPr>
            <w:r w:rsidRPr="006E70C4">
              <w:t>Annual Contribution</w:t>
            </w:r>
          </w:p>
        </w:tc>
        <w:tc>
          <w:tcPr>
            <w:tcW w:w="0" w:type="auto"/>
            <w:vAlign w:val="center"/>
            <w:hideMark/>
          </w:tcPr>
          <w:p w14:paraId="0498A6FC" w14:textId="77777777" w:rsidR="006E70C4" w:rsidRPr="006E70C4" w:rsidRDefault="006E70C4" w:rsidP="00CF507A">
            <w:pPr>
              <w:jc w:val="center"/>
            </w:pPr>
            <w:r w:rsidRPr="006E70C4">
              <w:t>$6,000 (Roth IRA Limit)</w:t>
            </w:r>
          </w:p>
        </w:tc>
      </w:tr>
      <w:tr w:rsidR="006E70C4" w:rsidRPr="006E70C4" w14:paraId="36FC071D" w14:textId="77777777" w:rsidTr="006E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9BBC" w14:textId="77777777" w:rsidR="006E70C4" w:rsidRPr="006E70C4" w:rsidRDefault="006E70C4" w:rsidP="00CF507A">
            <w:pPr>
              <w:jc w:val="center"/>
            </w:pPr>
            <w:r w:rsidRPr="006E70C4">
              <w:t>Investment Horizon</w:t>
            </w:r>
          </w:p>
        </w:tc>
        <w:tc>
          <w:tcPr>
            <w:tcW w:w="0" w:type="auto"/>
            <w:vAlign w:val="center"/>
            <w:hideMark/>
          </w:tcPr>
          <w:p w14:paraId="2450488D" w14:textId="77777777" w:rsidR="006E70C4" w:rsidRPr="006E70C4" w:rsidRDefault="006E70C4" w:rsidP="00CF507A">
            <w:pPr>
              <w:jc w:val="center"/>
            </w:pPr>
            <w:r w:rsidRPr="006E70C4">
              <w:t>40 years</w:t>
            </w:r>
          </w:p>
        </w:tc>
      </w:tr>
      <w:tr w:rsidR="006E70C4" w:rsidRPr="006E70C4" w14:paraId="3C7D8F48" w14:textId="77777777" w:rsidTr="006E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9BEB8" w14:textId="77777777" w:rsidR="006E70C4" w:rsidRPr="006E70C4" w:rsidRDefault="006E70C4" w:rsidP="00CF507A">
            <w:pPr>
              <w:jc w:val="center"/>
            </w:pPr>
            <w:r w:rsidRPr="006E70C4">
              <w:t>Asset Allocation</w:t>
            </w:r>
          </w:p>
        </w:tc>
        <w:tc>
          <w:tcPr>
            <w:tcW w:w="0" w:type="auto"/>
            <w:vAlign w:val="center"/>
            <w:hideMark/>
          </w:tcPr>
          <w:p w14:paraId="74069B37" w14:textId="77777777" w:rsidR="006E70C4" w:rsidRPr="006E70C4" w:rsidRDefault="006E70C4" w:rsidP="00CF507A">
            <w:pPr>
              <w:jc w:val="center"/>
            </w:pPr>
            <w:r w:rsidRPr="006E70C4">
              <w:t>100% S&amp;P 500 Index</w:t>
            </w:r>
          </w:p>
        </w:tc>
      </w:tr>
      <w:tr w:rsidR="006E70C4" w:rsidRPr="006E70C4" w14:paraId="7749E515" w14:textId="77777777" w:rsidTr="006E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E9233" w14:textId="77777777" w:rsidR="006E70C4" w:rsidRPr="006E70C4" w:rsidRDefault="006E70C4" w:rsidP="00CF507A">
            <w:pPr>
              <w:jc w:val="center"/>
            </w:pPr>
            <w:r w:rsidRPr="006E70C4">
              <w:t>Average Annual Return</w:t>
            </w:r>
          </w:p>
        </w:tc>
        <w:tc>
          <w:tcPr>
            <w:tcW w:w="0" w:type="auto"/>
            <w:vAlign w:val="center"/>
            <w:hideMark/>
          </w:tcPr>
          <w:p w14:paraId="566B8E96" w14:textId="77777777" w:rsidR="006E70C4" w:rsidRPr="006E70C4" w:rsidRDefault="006E70C4" w:rsidP="00CF507A">
            <w:pPr>
              <w:jc w:val="center"/>
            </w:pPr>
            <w:r w:rsidRPr="006E70C4">
              <w:t>7% (historical mean)</w:t>
            </w:r>
          </w:p>
        </w:tc>
      </w:tr>
      <w:tr w:rsidR="006E70C4" w:rsidRPr="006E70C4" w14:paraId="22E24912" w14:textId="77777777" w:rsidTr="006E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6599A" w14:textId="77777777" w:rsidR="006E70C4" w:rsidRPr="006E70C4" w:rsidRDefault="006E70C4" w:rsidP="00CF507A">
            <w:pPr>
              <w:jc w:val="center"/>
            </w:pPr>
            <w:r w:rsidRPr="006E70C4">
              <w:t>Standard Deviation (Volatility)</w:t>
            </w:r>
          </w:p>
        </w:tc>
        <w:tc>
          <w:tcPr>
            <w:tcW w:w="0" w:type="auto"/>
            <w:vAlign w:val="center"/>
            <w:hideMark/>
          </w:tcPr>
          <w:p w14:paraId="68085643" w14:textId="77777777" w:rsidR="006E70C4" w:rsidRPr="006E70C4" w:rsidRDefault="006E70C4" w:rsidP="00CF507A">
            <w:pPr>
              <w:jc w:val="center"/>
            </w:pPr>
            <w:r w:rsidRPr="006E70C4">
              <w:t>15% (historical standard deviation)</w:t>
            </w:r>
          </w:p>
        </w:tc>
      </w:tr>
      <w:tr w:rsidR="006E70C4" w:rsidRPr="006E70C4" w14:paraId="32EC6FBC" w14:textId="77777777" w:rsidTr="006E7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ED43" w14:textId="77777777" w:rsidR="006E70C4" w:rsidRPr="006E70C4" w:rsidRDefault="006E70C4" w:rsidP="00CF507A">
            <w:pPr>
              <w:jc w:val="center"/>
            </w:pPr>
            <w:r w:rsidRPr="006E70C4">
              <w:t>Contributions Timing</w:t>
            </w:r>
          </w:p>
        </w:tc>
        <w:tc>
          <w:tcPr>
            <w:tcW w:w="0" w:type="auto"/>
            <w:vAlign w:val="center"/>
            <w:hideMark/>
          </w:tcPr>
          <w:p w14:paraId="23B0063F" w14:textId="77777777" w:rsidR="006E70C4" w:rsidRPr="006E70C4" w:rsidRDefault="006E70C4" w:rsidP="00CF507A">
            <w:pPr>
              <w:jc w:val="center"/>
            </w:pPr>
            <w:r w:rsidRPr="006E70C4">
              <w:t>Start of each year</w:t>
            </w:r>
          </w:p>
        </w:tc>
      </w:tr>
    </w:tbl>
    <w:p w14:paraId="338758C3" w14:textId="77777777" w:rsidR="006E70C4" w:rsidRPr="006E70C4" w:rsidRDefault="00000000" w:rsidP="006E70C4">
      <w:r>
        <w:pict w14:anchorId="77B75508">
          <v:rect id="_x0000_i1028" style="width:0;height:1.5pt" o:hralign="center" o:hrstd="t" o:hr="t" fillcolor="#a0a0a0" stroked="f"/>
        </w:pict>
      </w:r>
    </w:p>
    <w:p w14:paraId="6A650608" w14:textId="6045C2E3" w:rsidR="006E70C4" w:rsidRPr="006E70C4" w:rsidRDefault="006E70C4" w:rsidP="006E70C4">
      <w:pPr>
        <w:rPr>
          <w:b/>
          <w:bCs/>
        </w:rPr>
      </w:pPr>
      <w:r w:rsidRPr="006E70C4">
        <w:rPr>
          <w:b/>
          <w:bCs/>
        </w:rPr>
        <w:t>Model Methodology</w:t>
      </w:r>
    </w:p>
    <w:p w14:paraId="40A54EE7" w14:textId="77777777" w:rsidR="006E70C4" w:rsidRPr="006E70C4" w:rsidRDefault="006E70C4" w:rsidP="006E70C4">
      <w:pPr>
        <w:rPr>
          <w:b/>
          <w:bCs/>
        </w:rPr>
      </w:pPr>
      <w:r w:rsidRPr="006E70C4">
        <w:rPr>
          <w:b/>
          <w:bCs/>
        </w:rPr>
        <w:t>1. Random Return Generation</w:t>
      </w:r>
    </w:p>
    <w:p w14:paraId="20D0C046" w14:textId="77777777" w:rsidR="006E70C4" w:rsidRPr="006E70C4" w:rsidRDefault="006E70C4" w:rsidP="006E70C4">
      <w:r w:rsidRPr="006E70C4">
        <w:t>Each year's return is generated using the Excel formula:</w:t>
      </w:r>
      <w:r w:rsidRPr="006E70C4">
        <w:br/>
        <w:t xml:space="preserve">=NORM.INV(RAND(), mean, </w:t>
      </w:r>
      <w:proofErr w:type="spellStart"/>
      <w:r w:rsidRPr="006E70C4">
        <w:t>stdev</w:t>
      </w:r>
      <w:proofErr w:type="spellEnd"/>
      <w:r w:rsidRPr="006E70C4">
        <w:t>)</w:t>
      </w:r>
      <w:r w:rsidRPr="006E70C4">
        <w:br/>
        <w:t>This creates a normally distributed return centred around 7%, with 15% standard deviation — representing market volatility.</w:t>
      </w:r>
    </w:p>
    <w:p w14:paraId="036CF46E" w14:textId="77777777" w:rsidR="006E70C4" w:rsidRPr="006E70C4" w:rsidRDefault="006E70C4" w:rsidP="006E70C4">
      <w:pPr>
        <w:rPr>
          <w:b/>
          <w:bCs/>
        </w:rPr>
      </w:pPr>
      <w:r w:rsidRPr="006E70C4">
        <w:rPr>
          <w:b/>
          <w:bCs/>
        </w:rPr>
        <w:t>2. Portfolio Value Calculation</w:t>
      </w:r>
    </w:p>
    <w:p w14:paraId="05E9DFE1" w14:textId="77777777" w:rsidR="006E70C4" w:rsidRPr="006E70C4" w:rsidRDefault="006E70C4" w:rsidP="006E70C4">
      <w:r w:rsidRPr="006E70C4">
        <w:lastRenderedPageBreak/>
        <w:t>Portfolio value is grown iteratively:</w:t>
      </w:r>
    </w:p>
    <w:p w14:paraId="49B9DE86" w14:textId="77777777" w:rsidR="006E70C4" w:rsidRPr="006E70C4" w:rsidRDefault="006E70C4" w:rsidP="006E70C4">
      <w:r w:rsidRPr="006E70C4">
        <w:t xml:space="preserve">=($6,000 + </w:t>
      </w:r>
      <w:proofErr w:type="spellStart"/>
      <w:r w:rsidRPr="006E70C4">
        <w:t>previous_year_value</w:t>
      </w:r>
      <w:proofErr w:type="spellEnd"/>
      <w:r w:rsidRPr="006E70C4">
        <w:t xml:space="preserve">) × (1 + </w:t>
      </w:r>
      <w:proofErr w:type="spellStart"/>
      <w:r w:rsidRPr="006E70C4">
        <w:t>simulated_return</w:t>
      </w:r>
      <w:proofErr w:type="spellEnd"/>
      <w:r w:rsidRPr="006E70C4">
        <w:t>)</w:t>
      </w:r>
    </w:p>
    <w:p w14:paraId="7A9A8442" w14:textId="77777777" w:rsidR="006E70C4" w:rsidRPr="006E70C4" w:rsidRDefault="006E70C4" w:rsidP="006E70C4">
      <w:r w:rsidRPr="006E70C4">
        <w:t>This process is repeated for 40 years to simulate one portfolio outcome.</w:t>
      </w:r>
    </w:p>
    <w:p w14:paraId="14D0C00E" w14:textId="77777777" w:rsidR="006E70C4" w:rsidRPr="006E70C4" w:rsidRDefault="006E70C4" w:rsidP="006E70C4">
      <w:pPr>
        <w:rPr>
          <w:b/>
          <w:bCs/>
        </w:rPr>
      </w:pPr>
      <w:r w:rsidRPr="006E70C4">
        <w:rPr>
          <w:b/>
          <w:bCs/>
        </w:rPr>
        <w:t>3. 10,000 Iteration Monte Carlo Simulation</w:t>
      </w:r>
    </w:p>
    <w:p w14:paraId="2764981A" w14:textId="77777777" w:rsidR="006E70C4" w:rsidRPr="006E70C4" w:rsidRDefault="006E70C4" w:rsidP="006E70C4">
      <w:r w:rsidRPr="006E70C4">
        <w:t xml:space="preserve">Excel’s </w:t>
      </w:r>
      <w:r w:rsidRPr="006E70C4">
        <w:rPr>
          <w:b/>
          <w:bCs/>
        </w:rPr>
        <w:t>Data Table</w:t>
      </w:r>
      <w:r w:rsidRPr="006E70C4">
        <w:t xml:space="preserve"> function is used to perform 10,000 simulations. Each simulation generates a unique 40-year portfolio trajectory based on different return paths.</w:t>
      </w:r>
    </w:p>
    <w:p w14:paraId="592BEE11" w14:textId="77777777" w:rsidR="006E70C4" w:rsidRPr="006E70C4" w:rsidRDefault="00000000" w:rsidP="006E70C4">
      <w:r>
        <w:pict w14:anchorId="4F461E13">
          <v:rect id="_x0000_i1029" style="width:0;height:1.5pt" o:hralign="center" o:hrstd="t" o:hr="t" fillcolor="#a0a0a0" stroked="f"/>
        </w:pict>
      </w:r>
    </w:p>
    <w:p w14:paraId="0558ED1A" w14:textId="6F525EE5" w:rsidR="006E70C4" w:rsidRPr="006E70C4" w:rsidRDefault="006E70C4" w:rsidP="006E70C4">
      <w:pPr>
        <w:rPr>
          <w:b/>
          <w:bCs/>
        </w:rPr>
      </w:pPr>
      <w:r w:rsidRPr="006E70C4">
        <w:rPr>
          <w:b/>
          <w:bCs/>
        </w:rPr>
        <w:t xml:space="preserve"> Key Results</w:t>
      </w:r>
    </w:p>
    <w:p w14:paraId="3F8CB9A4" w14:textId="77777777" w:rsidR="006E70C4" w:rsidRPr="006E70C4" w:rsidRDefault="006E70C4" w:rsidP="006E70C4">
      <w:r w:rsidRPr="006E70C4">
        <w:t>After running 10,000 simulations, the following statistics were calculated:</w:t>
      </w:r>
    </w:p>
    <w:tbl>
      <w:tblPr>
        <w:tblW w:w="76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3886"/>
      </w:tblGrid>
      <w:tr w:rsidR="006E70C4" w:rsidRPr="006E70C4" w14:paraId="08255A19" w14:textId="77777777" w:rsidTr="00A10035">
        <w:trPr>
          <w:trHeight w:val="4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A8F17" w14:textId="77777777" w:rsidR="006E70C4" w:rsidRPr="006E70C4" w:rsidRDefault="006E70C4" w:rsidP="006E70C4">
            <w:pPr>
              <w:rPr>
                <w:b/>
                <w:bCs/>
              </w:rPr>
            </w:pPr>
            <w:r w:rsidRPr="006E70C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41015E8" w14:textId="77777777" w:rsidR="006E70C4" w:rsidRPr="006E70C4" w:rsidRDefault="006E70C4" w:rsidP="006E70C4">
            <w:pPr>
              <w:rPr>
                <w:b/>
                <w:bCs/>
              </w:rPr>
            </w:pPr>
            <w:r w:rsidRPr="006E70C4">
              <w:rPr>
                <w:b/>
                <w:bCs/>
              </w:rPr>
              <w:t>Value (approx.)</w:t>
            </w:r>
          </w:p>
        </w:tc>
      </w:tr>
      <w:tr w:rsidR="006E70C4" w:rsidRPr="006E70C4" w14:paraId="36157834" w14:textId="77777777" w:rsidTr="00A10035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1BFE2B61" w14:textId="77777777" w:rsidR="006E70C4" w:rsidRPr="006E70C4" w:rsidRDefault="006E70C4" w:rsidP="006E70C4">
            <w:r w:rsidRPr="006E70C4">
              <w:rPr>
                <w:b/>
                <w:bCs/>
              </w:rPr>
              <w:t>Median Portfolio Value</w:t>
            </w:r>
          </w:p>
        </w:tc>
        <w:tc>
          <w:tcPr>
            <w:tcW w:w="0" w:type="auto"/>
            <w:vAlign w:val="center"/>
            <w:hideMark/>
          </w:tcPr>
          <w:p w14:paraId="00D2E7DB" w14:textId="6587A86E" w:rsidR="006E70C4" w:rsidRPr="006E70C4" w:rsidRDefault="006E70C4" w:rsidP="006E70C4">
            <w:r w:rsidRPr="006E70C4">
              <w:t>$</w:t>
            </w:r>
            <w:r w:rsidR="00A10035">
              <w:t>1,000,000 - $1,100,000</w:t>
            </w:r>
          </w:p>
        </w:tc>
      </w:tr>
      <w:tr w:rsidR="006E70C4" w:rsidRPr="006E70C4" w14:paraId="50C0662A" w14:textId="77777777" w:rsidTr="00A10035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70B12CD8" w14:textId="77777777" w:rsidR="006E70C4" w:rsidRPr="006E70C4" w:rsidRDefault="006E70C4" w:rsidP="006E70C4">
            <w:r w:rsidRPr="006E70C4">
              <w:rPr>
                <w:b/>
                <w:bCs/>
              </w:rPr>
              <w:t>Mean Portfolio Value</w:t>
            </w:r>
          </w:p>
        </w:tc>
        <w:tc>
          <w:tcPr>
            <w:tcW w:w="0" w:type="auto"/>
            <w:vAlign w:val="center"/>
            <w:hideMark/>
          </w:tcPr>
          <w:p w14:paraId="58124A7C" w14:textId="20154834" w:rsidR="006E70C4" w:rsidRPr="006E70C4" w:rsidRDefault="006E70C4" w:rsidP="006E70C4">
            <w:r w:rsidRPr="006E70C4">
              <w:t>$1,</w:t>
            </w:r>
            <w:r w:rsidR="00A10035">
              <w:t>250</w:t>
            </w:r>
            <w:r w:rsidRPr="006E70C4">
              <w:t>,000</w:t>
            </w:r>
            <w:r w:rsidR="00A10035">
              <w:t xml:space="preserve"> - $1,300,000</w:t>
            </w:r>
          </w:p>
        </w:tc>
      </w:tr>
      <w:tr w:rsidR="006E70C4" w:rsidRPr="006E70C4" w14:paraId="20E221A0" w14:textId="77777777" w:rsidTr="00A10035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001C416A" w14:textId="77777777" w:rsidR="006E70C4" w:rsidRPr="006E70C4" w:rsidRDefault="006E70C4" w:rsidP="006E70C4">
            <w:r w:rsidRPr="006E70C4">
              <w:rPr>
                <w:b/>
                <w:bCs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57061F0D" w14:textId="00704CF0" w:rsidR="006E70C4" w:rsidRPr="006E70C4" w:rsidRDefault="006E70C4" w:rsidP="006E70C4">
            <w:r w:rsidRPr="006E70C4">
              <w:t>$</w:t>
            </w:r>
            <w:r w:rsidR="00A10035">
              <w:t>950</w:t>
            </w:r>
            <w:r w:rsidRPr="006E70C4">
              <w:t>,000</w:t>
            </w:r>
            <w:r w:rsidR="00A10035">
              <w:t xml:space="preserve"> - $1,050,000</w:t>
            </w:r>
          </w:p>
        </w:tc>
      </w:tr>
      <w:tr w:rsidR="006E70C4" w:rsidRPr="006E70C4" w14:paraId="7A16F549" w14:textId="77777777" w:rsidTr="00A10035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1E30A835" w14:textId="77777777" w:rsidR="006E70C4" w:rsidRPr="006E70C4" w:rsidRDefault="006E70C4" w:rsidP="006E70C4">
            <w:r w:rsidRPr="006E70C4">
              <w:rPr>
                <w:b/>
                <w:bCs/>
              </w:rPr>
              <w:t>5th Percentile</w:t>
            </w:r>
          </w:p>
        </w:tc>
        <w:tc>
          <w:tcPr>
            <w:tcW w:w="0" w:type="auto"/>
            <w:vAlign w:val="center"/>
            <w:hideMark/>
          </w:tcPr>
          <w:p w14:paraId="4BB1ABC1" w14:textId="4CB54930" w:rsidR="006E70C4" w:rsidRPr="006E70C4" w:rsidRDefault="006E70C4" w:rsidP="006E70C4">
            <w:r w:rsidRPr="006E70C4">
              <w:t>$3</w:t>
            </w:r>
            <w:r w:rsidR="00A10035">
              <w:t>40,000 - $360,000</w:t>
            </w:r>
          </w:p>
        </w:tc>
      </w:tr>
      <w:tr w:rsidR="006E70C4" w:rsidRPr="006E70C4" w14:paraId="0F96A092" w14:textId="77777777" w:rsidTr="00A10035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5DCCDA1E" w14:textId="77777777" w:rsidR="006E70C4" w:rsidRPr="006E70C4" w:rsidRDefault="006E70C4" w:rsidP="006E70C4">
            <w:r w:rsidRPr="006E70C4">
              <w:rPr>
                <w:b/>
                <w:bCs/>
              </w:rPr>
              <w:t>25th Percentile</w:t>
            </w:r>
          </w:p>
        </w:tc>
        <w:tc>
          <w:tcPr>
            <w:tcW w:w="0" w:type="auto"/>
            <w:vAlign w:val="center"/>
            <w:hideMark/>
          </w:tcPr>
          <w:p w14:paraId="16D8A09F" w14:textId="60D70B79" w:rsidR="006E70C4" w:rsidRPr="006E70C4" w:rsidRDefault="006E70C4" w:rsidP="006E70C4">
            <w:r w:rsidRPr="006E70C4">
              <w:t>$</w:t>
            </w:r>
            <w:r w:rsidR="00A10035">
              <w:t>630</w:t>
            </w:r>
            <w:r w:rsidRPr="006E70C4">
              <w:t>,000</w:t>
            </w:r>
            <w:r w:rsidR="00A10035">
              <w:t xml:space="preserve"> - $660,000</w:t>
            </w:r>
          </w:p>
        </w:tc>
      </w:tr>
      <w:tr w:rsidR="006E70C4" w:rsidRPr="006E70C4" w14:paraId="648545BE" w14:textId="77777777" w:rsidTr="00A10035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209ACC58" w14:textId="77777777" w:rsidR="006E70C4" w:rsidRPr="006E70C4" w:rsidRDefault="006E70C4" w:rsidP="006E70C4">
            <w:r w:rsidRPr="006E70C4">
              <w:rPr>
                <w:b/>
                <w:bCs/>
              </w:rPr>
              <w:t>75th Percentile</w:t>
            </w:r>
          </w:p>
        </w:tc>
        <w:tc>
          <w:tcPr>
            <w:tcW w:w="0" w:type="auto"/>
            <w:vAlign w:val="center"/>
            <w:hideMark/>
          </w:tcPr>
          <w:p w14:paraId="6D9E147F" w14:textId="03BA79B2" w:rsidR="006E70C4" w:rsidRPr="006E70C4" w:rsidRDefault="006E70C4" w:rsidP="006E70C4">
            <w:r w:rsidRPr="006E70C4">
              <w:t>$1</w:t>
            </w:r>
            <w:r w:rsidR="00A10035">
              <w:t>,570,000 - $1,630,000</w:t>
            </w:r>
          </w:p>
        </w:tc>
      </w:tr>
      <w:tr w:rsidR="006E70C4" w:rsidRPr="006E70C4" w14:paraId="3C2B8959" w14:textId="77777777" w:rsidTr="00A10035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67D182BB" w14:textId="77777777" w:rsidR="006E70C4" w:rsidRPr="006E70C4" w:rsidRDefault="006E70C4" w:rsidP="006E70C4">
            <w:r w:rsidRPr="006E70C4">
              <w:rPr>
                <w:b/>
                <w:bCs/>
              </w:rPr>
              <w:t>95th Percentile</w:t>
            </w:r>
          </w:p>
        </w:tc>
        <w:tc>
          <w:tcPr>
            <w:tcW w:w="0" w:type="auto"/>
            <w:vAlign w:val="center"/>
            <w:hideMark/>
          </w:tcPr>
          <w:p w14:paraId="6B9131AC" w14:textId="72375D0E" w:rsidR="006E70C4" w:rsidRPr="006E70C4" w:rsidRDefault="006E70C4" w:rsidP="006E70C4">
            <w:r w:rsidRPr="006E70C4">
              <w:t>$3</w:t>
            </w:r>
            <w:r w:rsidR="00A10035">
              <w:t>,000,000 - $3,200,000</w:t>
            </w:r>
          </w:p>
        </w:tc>
      </w:tr>
    </w:tbl>
    <w:p w14:paraId="6D40EA87" w14:textId="77777777" w:rsidR="006E70C4" w:rsidRPr="006E70C4" w:rsidRDefault="006E70C4" w:rsidP="006E70C4">
      <w:r w:rsidRPr="006E70C4">
        <w:t xml:space="preserve">The </w:t>
      </w:r>
      <w:r w:rsidRPr="00A10035">
        <w:t>mean exceeds the median</w:t>
      </w:r>
      <w:r w:rsidRPr="006E70C4">
        <w:t xml:space="preserve">, indicating </w:t>
      </w:r>
      <w:r w:rsidRPr="006E70C4">
        <w:rPr>
          <w:b/>
          <w:bCs/>
        </w:rPr>
        <w:t>positive skew</w:t>
      </w:r>
      <w:r w:rsidRPr="006E70C4">
        <w:t xml:space="preserve"> from extreme high-return simulations.</w:t>
      </w:r>
    </w:p>
    <w:p w14:paraId="6E723D05" w14:textId="77777777" w:rsidR="006E70C4" w:rsidRPr="006E70C4" w:rsidRDefault="00000000" w:rsidP="006E70C4">
      <w:r>
        <w:pict w14:anchorId="4FFC96A5">
          <v:rect id="_x0000_i1030" style="width:0;height:1.5pt" o:hralign="center" o:hrstd="t" o:hr="t" fillcolor="#a0a0a0" stroked="f"/>
        </w:pict>
      </w:r>
    </w:p>
    <w:p w14:paraId="2F9BCBF3" w14:textId="66B4A21D" w:rsidR="006E70C4" w:rsidRPr="006E70C4" w:rsidRDefault="006E70C4" w:rsidP="006E70C4">
      <w:pPr>
        <w:rPr>
          <w:b/>
          <w:bCs/>
        </w:rPr>
      </w:pPr>
      <w:r w:rsidRPr="006E70C4">
        <w:rPr>
          <w:b/>
          <w:bCs/>
        </w:rPr>
        <w:t>Visual Output</w:t>
      </w:r>
    </w:p>
    <w:p w14:paraId="06EBE8BF" w14:textId="77777777" w:rsidR="006E70C4" w:rsidRPr="006E70C4" w:rsidRDefault="006E70C4" w:rsidP="006E70C4">
      <w:r w:rsidRPr="006E70C4">
        <w:t>A histogram was created to visualize the distribution of outcomes:</w:t>
      </w:r>
    </w:p>
    <w:p w14:paraId="234C9518" w14:textId="3473BAC7" w:rsidR="006E70C4" w:rsidRPr="006E70C4" w:rsidRDefault="006E70C4" w:rsidP="006E70C4">
      <w:pPr>
        <w:numPr>
          <w:ilvl w:val="0"/>
          <w:numId w:val="1"/>
        </w:numPr>
      </w:pPr>
      <w:r w:rsidRPr="006E70C4">
        <w:rPr>
          <w:b/>
          <w:bCs/>
        </w:rPr>
        <w:t>Mode (Most Frequent Outcome):</w:t>
      </w:r>
      <w:r w:rsidRPr="006E70C4">
        <w:t xml:space="preserve"> $400k–600k range</w:t>
      </w:r>
    </w:p>
    <w:p w14:paraId="4C008BEA" w14:textId="56D49562" w:rsidR="006E70C4" w:rsidRPr="006E70C4" w:rsidRDefault="006E70C4" w:rsidP="006E70C4">
      <w:pPr>
        <w:numPr>
          <w:ilvl w:val="0"/>
          <w:numId w:val="1"/>
        </w:numPr>
      </w:pPr>
      <w:r w:rsidRPr="006E70C4">
        <w:rPr>
          <w:b/>
          <w:bCs/>
        </w:rPr>
        <w:t>Skewness:</w:t>
      </w:r>
      <w:r w:rsidRPr="006E70C4">
        <w:t xml:space="preserve"> Heavy right-tail skew</w:t>
      </w:r>
      <w:r w:rsidR="00DE71BF">
        <w:t xml:space="preserve">: </w:t>
      </w:r>
      <w:r w:rsidRPr="006E70C4">
        <w:t xml:space="preserve"> indicating rare but extreme upside scenarios</w:t>
      </w:r>
    </w:p>
    <w:p w14:paraId="4C0473D0" w14:textId="56D12687" w:rsidR="006E70C4" w:rsidRPr="006E70C4" w:rsidRDefault="006E70C4" w:rsidP="006E70C4">
      <w:pPr>
        <w:numPr>
          <w:ilvl w:val="0"/>
          <w:numId w:val="1"/>
        </w:numPr>
      </w:pPr>
      <w:r w:rsidRPr="006E70C4">
        <w:rPr>
          <w:b/>
          <w:bCs/>
        </w:rPr>
        <w:t>Maximum Simulated Outcome:</w:t>
      </w:r>
      <w:r w:rsidRPr="006E70C4">
        <w:t xml:space="preserve"> $14 million</w:t>
      </w:r>
    </w:p>
    <w:p w14:paraId="61DBCA4D" w14:textId="30BFF8C3" w:rsidR="006E70C4" w:rsidRPr="006E70C4" w:rsidRDefault="006E70C4" w:rsidP="006E70C4">
      <w:pPr>
        <w:numPr>
          <w:ilvl w:val="0"/>
          <w:numId w:val="1"/>
        </w:numPr>
      </w:pPr>
      <w:r w:rsidRPr="006E70C4">
        <w:rPr>
          <w:b/>
          <w:bCs/>
        </w:rPr>
        <w:t>Minimum Simulated Outcome:</w:t>
      </w:r>
      <w:r w:rsidRPr="006E70C4">
        <w:t xml:space="preserve"> $358k</w:t>
      </w:r>
    </w:p>
    <w:p w14:paraId="47ECE0B6" w14:textId="77777777" w:rsidR="006E70C4" w:rsidRPr="006E70C4" w:rsidRDefault="006E70C4" w:rsidP="006E70C4">
      <w:r w:rsidRPr="006E70C4">
        <w:t>This histogram reveals not only central tendencies but also the long-tail risk and opportunity embedded in equity markets over long horizons.</w:t>
      </w:r>
    </w:p>
    <w:p w14:paraId="67008DC5" w14:textId="77777777" w:rsidR="00A10035" w:rsidRDefault="00000000" w:rsidP="006E70C4">
      <w:r>
        <w:lastRenderedPageBreak/>
        <w:pict w14:anchorId="282C0651">
          <v:rect id="_x0000_i1031" style="width:0;height:1.5pt" o:hralign="center" o:bullet="t" o:hrstd="t" o:hr="t" fillcolor="#a0a0a0" stroked="f"/>
        </w:pict>
      </w:r>
    </w:p>
    <w:p w14:paraId="67B4EBEF" w14:textId="7F792EAD" w:rsidR="006E70C4" w:rsidRPr="00A10035" w:rsidRDefault="006E70C4" w:rsidP="006E70C4">
      <w:r w:rsidRPr="006E70C4">
        <w:rPr>
          <w:b/>
          <w:bCs/>
        </w:rPr>
        <w:t xml:space="preserve"> Interpretation &amp; Takeaways</w:t>
      </w:r>
    </w:p>
    <w:p w14:paraId="22CC1175" w14:textId="77777777" w:rsidR="006E70C4" w:rsidRPr="006E70C4" w:rsidRDefault="006E70C4" w:rsidP="006E70C4">
      <w:pPr>
        <w:numPr>
          <w:ilvl w:val="0"/>
          <w:numId w:val="2"/>
        </w:numPr>
      </w:pPr>
      <w:r w:rsidRPr="006E70C4">
        <w:t xml:space="preserve">The Monte Carlo approach reflects </w:t>
      </w:r>
      <w:r w:rsidRPr="006E70C4">
        <w:rPr>
          <w:b/>
          <w:bCs/>
        </w:rPr>
        <w:t>real-world uncertainty</w:t>
      </w:r>
      <w:r w:rsidRPr="006E70C4">
        <w:t>, making it a more robust model than fixed-return projections.</w:t>
      </w:r>
    </w:p>
    <w:p w14:paraId="09C682FC" w14:textId="77777777" w:rsidR="006E70C4" w:rsidRPr="006E70C4" w:rsidRDefault="006E70C4" w:rsidP="006E70C4">
      <w:pPr>
        <w:numPr>
          <w:ilvl w:val="0"/>
          <w:numId w:val="2"/>
        </w:numPr>
      </w:pPr>
      <w:r w:rsidRPr="006E70C4">
        <w:t xml:space="preserve">Results demonstrate </w:t>
      </w:r>
      <w:r w:rsidRPr="006E70C4">
        <w:rPr>
          <w:b/>
          <w:bCs/>
        </w:rPr>
        <w:t>risk asymmetry</w:t>
      </w:r>
      <w:r w:rsidRPr="006E70C4">
        <w:t>: while losses are bounded by contributions, upside can be exponential.</w:t>
      </w:r>
    </w:p>
    <w:p w14:paraId="1F9BA9FB" w14:textId="77777777" w:rsidR="006E70C4" w:rsidRPr="006E70C4" w:rsidRDefault="006E70C4" w:rsidP="006E70C4">
      <w:pPr>
        <w:numPr>
          <w:ilvl w:val="0"/>
          <w:numId w:val="2"/>
        </w:numPr>
      </w:pPr>
      <w:r w:rsidRPr="006E70C4">
        <w:t>Even with consistent contributions, outcomes can vary by millions — reinforcing the importance of probabilistic thinking in portfolio construction and retirement planning.</w:t>
      </w:r>
    </w:p>
    <w:p w14:paraId="31D4D102" w14:textId="77777777" w:rsidR="006E70C4" w:rsidRPr="006E70C4" w:rsidRDefault="00000000" w:rsidP="006E70C4">
      <w:r>
        <w:pict w14:anchorId="3BFB2B1E">
          <v:rect id="_x0000_i1032" style="width:0;height:1.5pt" o:hralign="center" o:hrstd="t" o:hr="t" fillcolor="#a0a0a0" stroked="f"/>
        </w:pict>
      </w:r>
    </w:p>
    <w:p w14:paraId="1070EDA9" w14:textId="468C0AD8" w:rsidR="006E70C4" w:rsidRPr="006E70C4" w:rsidRDefault="006E70C4" w:rsidP="006E70C4">
      <w:r w:rsidRPr="006E70C4">
        <w:t xml:space="preserve">This model is directly aligned with the </w:t>
      </w:r>
      <w:r w:rsidRPr="006E70C4">
        <w:rPr>
          <w:b/>
          <w:bCs/>
        </w:rPr>
        <w:t>risk analytics philosophy</w:t>
      </w:r>
      <w:r w:rsidRPr="006E70C4">
        <w:t xml:space="preserve"> of </w:t>
      </w:r>
      <w:proofErr w:type="spellStart"/>
      <w:r w:rsidRPr="006E70C4">
        <w:t>Fasanara</w:t>
      </w:r>
      <w:proofErr w:type="spellEnd"/>
      <w:r w:rsidRPr="006E70C4">
        <w:t xml:space="preserve"> Capital, where stochastic </w:t>
      </w:r>
      <w:r w:rsidR="00E85159" w:rsidRPr="006E70C4">
        <w:t>modelling</w:t>
      </w:r>
      <w:r w:rsidRPr="006E70C4">
        <w:t xml:space="preserve"> and scenario analysis are essential. Though applied here to an individual portfolio, the same principles can be scaled to structured credit instruments, fintech lending books, or digital assets.</w:t>
      </w:r>
    </w:p>
    <w:p w14:paraId="5351B112" w14:textId="77777777" w:rsidR="00462602" w:rsidRDefault="00462602"/>
    <w:sectPr w:rsidR="00462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5" style="width:0;height:1.5pt" o:hralign="center" o:bullet="t" o:hrstd="t" o:hr="t" fillcolor="#a0a0a0" stroked="f"/>
    </w:pict>
  </w:numPicBullet>
  <w:abstractNum w:abstractNumId="0" w15:restartNumberingAfterBreak="0">
    <w:nsid w:val="112152AA"/>
    <w:multiLevelType w:val="multilevel"/>
    <w:tmpl w:val="15AA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14C8F"/>
    <w:multiLevelType w:val="multilevel"/>
    <w:tmpl w:val="C292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595214">
    <w:abstractNumId w:val="1"/>
  </w:num>
  <w:num w:numId="2" w16cid:durableId="171889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C4"/>
    <w:rsid w:val="000B7D96"/>
    <w:rsid w:val="00462602"/>
    <w:rsid w:val="004A1EDD"/>
    <w:rsid w:val="006E70C4"/>
    <w:rsid w:val="008B2070"/>
    <w:rsid w:val="009418C0"/>
    <w:rsid w:val="00A10035"/>
    <w:rsid w:val="00A57901"/>
    <w:rsid w:val="00CB02CC"/>
    <w:rsid w:val="00CF507A"/>
    <w:rsid w:val="00D67903"/>
    <w:rsid w:val="00DE71BF"/>
    <w:rsid w:val="00E85159"/>
    <w:rsid w:val="00E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B67C"/>
  <w15:chartTrackingRefBased/>
  <w15:docId w15:val="{521C1A9F-4DAE-4EEC-85CE-F5CC8B93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0C4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F507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elwon</dc:creator>
  <cp:keywords/>
  <dc:description/>
  <cp:lastModifiedBy>moses elwon</cp:lastModifiedBy>
  <cp:revision>2</cp:revision>
  <dcterms:created xsi:type="dcterms:W3CDTF">2025-07-31T23:09:00Z</dcterms:created>
  <dcterms:modified xsi:type="dcterms:W3CDTF">2025-07-31T23:09:00Z</dcterms:modified>
</cp:coreProperties>
</file>