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Contractor: </w:t>
      </w:r>
      <w:r>
        <w:t>WiNGiN Heavy Duty Machines Co. Ltd</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Project Summary</w:t>
        <w:br/>
        <w:t xml:space="preserve">2. Works Completed</w:t>
        <w:br/>
        <w:t xml:space="preserve">3. Borehole Data Sheet</w:t>
        <w:br/>
        <w:t xml:space="preserve">4. Water Quality</w:t>
        <w:br/>
        <w:t xml:space="preserve">5. Operation and Maintenance Guidance</w:t>
        <w:br/>
        <w:t xml:space="preserve">6. Community / WASH Committee</w:t>
        <w:br/>
        <w:t xml:space="preserve">7. Recommendations</w:t>
        <w:br/>
        <w:t xml:space="preserve">8. Handover Signatures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hands over the completed borehole water supply at Dr. Timbo's Residence, Western Area Rural District. The borehole was drilled to 70 m and is recorded as successful. The recommended safe yield is 0.391 m3/h.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 see the water quality section.</w:t>
      </w:r>
    </w:p>
    <w:p>
      <w:r>
        <w:rPr>
          <w:b/>
          <w:i w:val="0"/>
        </w:rPr>
        <w:t>Key findings:</w:t>
      </w:r>
    </w:p>
    <w:p>
      <w:pPr>
        <w:pStyle w:val="ListBullet"/>
      </w:pPr>
      <w:r>
        <w:t>Borehole depth: 70 m, Successful.</w:t>
      </w:r>
    </w:p>
    <w:p>
      <w:pPr>
        <w:pStyle w:val="ListBullet"/>
      </w:pPr>
      <w:r>
        <w:t>Water safety: treatment required before drinking.</w:t>
      </w:r>
    </w:p>
    <w:p>
      <w:pPr>
        <w:pStyle w:val="ListBullet"/>
      </w:pPr>
      <w:r>
        <w:t>Keep this report with the WASH committee records and maintain the sanitary protection zone around the wellhead.</w:t>
      </w:r>
    </w:p>
    <w:p>
      <w:r>
        <w:rPr>
          <w:b/>
          <w:i w:val="0"/>
        </w:rPr>
        <w:t>Decision numbers:</w:t>
      </w:r>
    </w:p>
    <w:p>
      <w:pPr>
        <w:pStyle w:val="ListBullet"/>
      </w:pPr>
      <w:r>
        <w:t>Safe yield: 0.391 m3/h (P10 to P90 of the transmissivity, 0.354 to 0.443 m3/h); basis: a block bootstrap of the Cooper-Jacob residuals, with the yield projected at each end of the transmissivity band it gives and the 2 m dry-season reserve taken; the band is the least the spread can be; provisional.</w:t>
      </w:r>
    </w:p>
    <w:p>
      <w:pPr>
        <w:pStyle w:val="ListBullet"/>
      </w:pPr>
      <w:r>
        <w:t>Pump intake below the top of the casing: 54 m (the recommendation's setting over a 1 to 4 m dry-season decline, 51 to 52 m); basis: the yield recommendation's setting at the adopted transmissivity, 52 m, which the transmissivity band does not move, set instead in plain casing clear of the screens by the design; provisional.</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Works Completed</w:t>
      </w:r>
    </w:p>
    <w:p>
      <w:pPr>
        <w:pStyle w:val="ListBullet"/>
      </w:pPr>
      <w:r>
        <w:t>Drilling of the borehole to 70 m by Air rotary (DTH hammer).</w:t>
      </w:r>
    </w:p>
    <w:p>
      <w:pPr>
        <w:pStyle w:val="ListBullet"/>
      </w:pPr>
      <w:r>
        <w:t>Construction designed with 5 inch uPVC casing, 19 m of screen, no gravel pack (the 19 mm annulus is too thin to place one) and sanitary seal to 20 m; the drilling log records no casing string as installed.</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pPr>
        <w:pStyle w:val="Caption"/>
      </w:pPr>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Recommended pump intake</w:t>
            </w:r>
          </w:p>
        </w:tc>
        <w:tc>
          <w:tcPr>
            <w:tcW w:type="dxa" w:w="4536"/>
          </w:tcPr>
          <w:p>
            <w:r/>
            <w:r>
              <w:rPr>
                <w:sz w:val="19"/>
              </w:rPr>
              <w:t>54 m</w:t>
            </w:r>
          </w:p>
        </w:tc>
      </w:tr>
      <w:tr>
        <w:tc>
          <w:tcPr>
            <w:tcW w:type="dxa" w:w="4536"/>
          </w:tcPr>
          <w:p>
            <w:r/>
            <w:r>
              <w:rPr>
                <w:sz w:val="19"/>
              </w:rPr>
              <w:t>Transmissivity</w:t>
            </w:r>
          </w:p>
        </w:tc>
        <w:tc>
          <w:tcPr>
            <w:tcW w:type="dxa" w:w="4536"/>
          </w:tcPr>
          <w:p>
            <w:r/>
            <w:r>
              <w:rPr>
                <w:sz w:val="19"/>
              </w:rPr>
              <w:t>0.536 m2/day</w:t>
            </w:r>
          </w:p>
        </w:tc>
      </w:tr>
      <w:tr>
        <w:tc>
          <w:tcPr>
            <w:tcW w:type="dxa" w:w="4536"/>
          </w:tcPr>
          <w:p>
            <w:r/>
            <w:r>
              <w:rPr>
                <w:sz w:val="19"/>
              </w:rPr>
              <w:t>Safe yield (safety factor 1.5)</w:t>
            </w:r>
          </w:p>
        </w:tc>
        <w:tc>
          <w:tcPr>
            <w:tcW w:type="dxa" w:w="4536"/>
          </w:tcPr>
          <w:p>
            <w:r/>
            <w:r>
              <w:rPr>
                <w:sz w:val="19"/>
              </w:rPr>
              <w:t>0.39 m3/h (0.22 to 0.71) (indicative)</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r>
        <w:tc>
          <w:tcPr>
            <w:tcW w:type="dxa" w:w="4536"/>
          </w:tcPr>
          <w:p>
            <w:r/>
            <w:r>
              <w:rPr>
                <w:sz w:val="19"/>
              </w:rPr>
              <w:t>Pump intake depth</w:t>
            </w:r>
          </w:p>
        </w:tc>
        <w:tc>
          <w:tcPr>
            <w:tcW w:type="dxa" w:w="4536"/>
          </w:tcPr>
          <w:p>
            <w:r/>
            <w:r>
              <w:rPr>
                <w:sz w:val="19"/>
              </w:rPr>
              <w:t>54 m below the top of the casing</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55942"/>
            <wp:docPr id="3" name="Picture 3"/>
            <wp:cNvGraphicFramePr>
              <a:graphicFrameLocks noChangeAspect="1"/>
            </wp:cNvGraphicFramePr>
            <a:graphic>
              <a:graphicData uri="http://schemas.openxmlformats.org/drawingml/2006/picture">
                <pic:pic>
                  <pic:nvPicPr>
                    <pic:cNvPr id="0" name="borehole_design_Dr_Timbo_s_Residence.png"/>
                    <pic:cNvPicPr/>
                  </pic:nvPicPr>
                  <pic:blipFill>
                    <a:blip r:embed="rId12"/>
                    <a:stretch>
                      <a:fillRect/>
                    </a:stretch>
                  </pic:blipFill>
                  <pic:spPr>
                    <a:xfrm>
                      <a:off x="0" y="0"/>
                      <a:ext cx="4680000" cy="7055942"/>
                    </a:xfrm>
                    <a:prstGeom prst="rect"/>
                  </pic:spPr>
                </pic:pic>
              </a:graphicData>
            </a:graphic>
          </wp:inline>
        </w:drawing>
      </w:r>
    </w:p>
    <w:p>
      <w:pPr>
        <w:pStyle w:val="Caption"/>
        <w:jc w:val="center"/>
      </w:pPr>
      <w:r>
        <w:rPr>
          <w:b/>
          <w:sz w:val="18"/>
        </w:rPr>
        <w:t>Figure 3. Borehole construction design generated from the drilling log; the log records no casing string, so this is not an as-built record.</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4. Water Quality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detected above the national limit (0); an indicator of ingress or inadequate wellhead protection, not of faecal contamination in itself, and WHO sets no health based guideline for it</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 which is provisional; the WHO acceptability value is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pump house, apron and surroundings clean; no washing or animal watering at the tap stand.</w:t>
      </w:r>
    </w:p>
    <w:p>
      <w:pPr>
        <w:pStyle w:val="ListBullet"/>
      </w:pPr>
      <w:r>
        <w:t>Check for leaks, unusual pump or motor noise, discoloured water and a falling flow.</w:t>
      </w:r>
    </w:p>
    <w:p>
      <w:pPr>
        <w:pStyle w:val="ListBullet"/>
      </w:pPr>
      <w:r>
        <w:t>Keep the drainage channel and soakaway free flowing.</w:t>
      </w:r>
    </w:p>
    <w:p>
      <w:r>
        <w:rPr>
          <w:b/>
          <w:i w:val="0"/>
        </w:rPr>
        <w:t>Weekly</w:t>
      </w:r>
    </w:p>
    <w:p>
      <w:pPr>
        <w:pStyle w:val="ListBullet"/>
      </w:pPr>
      <w:r>
        <w:t>Record the hours of pumping and the meter reading, if fitted.</w:t>
      </w:r>
    </w:p>
    <w:p>
      <w:pPr>
        <w:pStyle w:val="ListBullet"/>
      </w:pPr>
      <w:r>
        <w:t>Check the control box, cables, starter and (for a solar pump) the array for damage, loose connections and shading.</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pPr>
        <w:pStyle w:val="ListBullet"/>
      </w:pPr>
      <w:r>
        <w:t>Check the running current against the commissioning value.</w:t>
      </w:r>
    </w:p>
    <w:p>
      <w:r>
        <w:rPr>
          <w:b/>
          <w:i w:val="0"/>
        </w:rPr>
        <w:t>Yearly</w:t>
      </w:r>
    </w:p>
    <w:p>
      <w:pPr>
        <w:pStyle w:val="ListBullet"/>
      </w:pPr>
      <w:r>
        <w:t>Service the pump and motor according to the manufacturer schedule; check the rising main and cable for corrosion and wear.</w:t>
      </w:r>
    </w:p>
    <w:p>
      <w:pPr>
        <w:pStyle w:val="ListBullet"/>
      </w:pPr>
      <w:r>
        <w:t>Repeat the physico-chemical and bacteriological water tests.</w:t>
      </w:r>
    </w:p>
    <w:p>
      <w:pPr>
        <w:pStyle w:val="ListBullet"/>
      </w:pPr>
      <w:r>
        <w:t>Review the tariff against the cost of spare parts and power.</w:t>
      </w:r>
    </w:p>
    <w:p>
      <w:r>
        <w:rPr>
          <w:b/>
          <w:i w:val="0"/>
        </w:rPr>
        <w:t>Operate the pump at no more than 0.391 m3/h and allow the recommended rest periods. If the water level reaches the pump intake, stop pumping and let the borehole recover.</w:t>
      </w:r>
    </w:p>
    <w:p>
      <w:pPr>
        <w:pStyle w:val="Heading1"/>
      </w:pPr>
      <w:r>
        <w:t>6. Community / WASH Committee</w:t>
      </w:r>
    </w:p>
    <w:p>
      <w:pPr>
        <w:pStyle w:val="Caption"/>
      </w:pPr>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