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as recorded by the driller: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Introduction</w:t>
        <w:br/>
        <w:t xml:space="preserve">    1.1 Location and setting</w:t>
        <w:br/>
        <w:t xml:space="preserve">2. Methodology</w:t>
        <w:br/>
        <w:t xml:space="preserve">3. Drilling</w:t>
        <w:br/>
        <w:t xml:space="preserve">4. Borehole Log Data</w:t>
        <w:br/>
        <w:t xml:space="preserve">5. Borehole Construction Design</w:t>
        <w:br/>
        <w:t xml:space="preserve">6. Borehole Development Record</w:t>
        <w:br/>
        <w:t xml:space="preserve">7. Pumping Test</w:t>
        <w:br/>
        <w:t xml:space="preserve">8. Borehole Characteristics and Installation</w:t>
        <w:br/>
        <w:t xml:space="preserve">9. Water Quality Summary</w:t>
        <w:br/>
        <w:t xml:space="preserve">10. Recommendations and Conclusions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0.391 m3/h with the pump intake at 54 m below the top of the casing.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pPr>
        <w:pStyle w:val="Caption"/>
      </w:pPr>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 Design</w:t>
      </w:r>
    </w:p>
    <w:p>
      <w:pPr>
        <w:jc w:val="both"/>
      </w:pPr>
      <w:r>
        <w:rPr>
          <w:b w:val="0"/>
          <w:i/>
        </w:rPr>
        <w:t>Construction generated from the drilling log by the design rules. The log records no casing string, so this is a design, not an as-built record.</w:t>
      </w:r>
    </w:p>
    <w:p>
      <w:pPr>
        <w:pStyle w:val="Caption"/>
      </w:pPr>
      <w:r>
        <w:rPr>
          <w:b/>
          <w:sz w:val="18"/>
        </w:rPr>
        <w:t>Table 2. Construction design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54 m</w:t>
            </w:r>
          </w:p>
        </w:tc>
      </w:tr>
    </w:tbl>
    <w:p/>
    <w:p>
      <w:pPr>
        <w:jc w:val="center"/>
      </w:pPr>
      <w:r>
        <w:drawing>
          <wp:inline xmlns:a="http://schemas.openxmlformats.org/drawingml/2006/main" xmlns:pic="http://schemas.openxmlformats.org/drawingml/2006/picture">
            <wp:extent cx="4860000" cy="7327324"/>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27324"/>
                    </a:xfrm>
                    <a:prstGeom prst="rect"/>
                  </pic:spPr>
                </pic:pic>
              </a:graphicData>
            </a:graphic>
          </wp:inline>
        </w:drawing>
      </w:r>
    </w:p>
    <w:p>
      <w:pPr>
        <w:pStyle w:val="Caption"/>
        <w:jc w:val="center"/>
      </w:pPr>
      <w:r>
        <w:rPr>
          <w:b/>
          <w:sz w:val="18"/>
        </w:rPr>
        <w:t>Figure 3. Borehole construction design generated from the drilling log, with lithology and construction columns.</w:t>
      </w:r>
    </w:p>
    <w:p>
      <w:r>
        <w:rPr>
          <w:b/>
          <w:i w:val="0"/>
        </w:rPr>
        <w:t>Design basis:</w:t>
      </w:r>
    </w:p>
    <w:p>
      <w:pPr>
        <w:pStyle w:val="ListBullet"/>
      </w:pPr>
      <w:r>
        <w:t>screens positioned against the water strikes recorded in the drilling log (30 m)</w:t>
      </w:r>
    </w:p>
    <w:p>
      <w:pPr>
        <w:pStyle w:val="ListBullet"/>
      </w:pPr>
      <w:r>
        <w:t>screens positioned against the fracture zones the log names (49-52 m, 60-62 m), with 1 m of screen either side</w:t>
      </w:r>
    </w:p>
    <w:p>
      <w:pPr>
        <w:pStyle w:val="ListBullet"/>
      </w:pPr>
      <w:r>
        <w:t>screens positioned against the fractured or water-bearing intervals logged at 25-30 m, 30-35 m</w:t>
      </w:r>
    </w:p>
    <w:p>
      <w:pPr>
        <w:pStyle w:val="ListBullet"/>
      </w:pPr>
      <w:r>
        <w:t>the 12 m strike is not screened: it is in light yellow clayey laterites, wet from 12 m, a seepage horizon that is cased and grouted off rather than screened and it lies within the 20 m grouted interval</w:t>
      </w:r>
    </w:p>
    <w:p>
      <w:pPr>
        <w:pStyle w:val="ListBullet"/>
      </w:pPr>
      <w:r>
        <w:t>5 inch uPVC casing in a 6.5 inch hole as logged</w:t>
      </w:r>
    </w:p>
    <w:p>
      <w:pPr>
        <w:pStyle w:val="ListBullet"/>
      </w:pPr>
      <w:r>
        <w:t>no gravel pack: the 19 mm annulus between the 5 inch casing and the 6.5 inch hole is too thin to place one, so the annulus below the seal is left to the formation</w:t>
      </w:r>
    </w:p>
    <w:p>
      <w:pPr>
        <w:pStyle w:val="ListBullet"/>
      </w:pPr>
      <w:r>
        <w:t>cement grout from surface to 20 m as recorded on the drilling log (the rule's minimum is 6 m), with concrete apron with drainage channel and soakaway</w:t>
      </w:r>
    </w:p>
    <w:p>
      <w:pPr>
        <w:pStyle w:val="ListBullet"/>
      </w:pPr>
      <w:r>
        <w:t>screens kept at least 5 m below the static water level</w:t>
      </w:r>
    </w:p>
    <w:p>
      <w:pPr>
        <w:pStyle w:val="ListBullet"/>
      </w:pPr>
      <w:r>
        <w:t>pump intake at 54 m, in plain casing 1 m below the 48-53 m screen rather than the 52 m the yield recommendation asked for</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6. Borehole Development Record</w:t>
      </w:r>
    </w:p>
    <w:p>
      <w:r>
        <w:rPr>
          <w:b w:val="0"/>
          <w:i w:val="0"/>
        </w:rPr>
        <w:t>The borehole was developed by surging with compressed air and air lifting.</w:t>
      </w:r>
    </w:p>
    <w:p>
      <w:pPr>
        <w:pStyle w:val="Caption"/>
      </w:pPr>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r>
        <w:rPr>
          <w:b w:val="0"/>
          <w:i w:val="0"/>
        </w:rPr>
        <w:t>The record covers 1 h 00 min (17:00 to 18:00).</w:t>
      </w:r>
    </w:p>
    <w:p>
      <w:pPr>
        <w:pStyle w:val="Heading1"/>
      </w:pPr>
      <w:r>
        <w:t>7. Pumping Test</w:t>
      </w:r>
    </w:p>
    <w:p>
      <w:pPr>
        <w:jc w:val="center"/>
      </w:pPr>
      <w:r>
        <w:drawing>
          <wp:inline xmlns:a="http://schemas.openxmlformats.org/drawingml/2006/main" xmlns:pic="http://schemas.openxmlformats.org/drawingml/2006/picture">
            <wp:extent cx="5400000" cy="3133656"/>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3133656"/>
                    </a:xfrm>
                    <a:prstGeom prst="rect"/>
                  </pic:spPr>
                </pic:pic>
              </a:graphicData>
            </a:graphic>
          </wp:inline>
        </w:drawing>
      </w:r>
    </w:p>
    <w:p>
      <w:pPr>
        <w:pStyle w:val="Caption"/>
        <w:jc w:val="center"/>
      </w:pPr>
      <w:r>
        <w:rPr>
          <w:b/>
          <w:sz w:val="18"/>
        </w:rPr>
        <w:t>Figure 4. Constant discharge test and recovery record.</w:t>
      </w:r>
    </w:p>
    <w:p>
      <w:pPr>
        <w:pStyle w:val="Caption"/>
      </w:pPr>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 discharge test with 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Pump setting during the test</w:t>
            </w:r>
          </w:p>
        </w:tc>
        <w:tc>
          <w:tcPr>
            <w:tcW w:type="dxa" w:w="4536"/>
          </w:tcPr>
          <w:p>
            <w:r/>
            <w:r>
              <w:rPr>
                <w:sz w:val="19"/>
              </w:rPr>
              <w:t>67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0.536 m2/day (Cooper-Jacob)</w:t>
            </w:r>
          </w:p>
        </w:tc>
      </w:tr>
      <w:tr>
        <w:tc>
          <w:tcPr>
            <w:tcW w:type="dxa" w:w="4536"/>
          </w:tcPr>
          <w:p>
            <w:r/>
            <w:r>
              <w:rPr>
                <w:sz w:val="19"/>
              </w:rPr>
              <w:t>Specific capacity</w:t>
            </w:r>
          </w:p>
        </w:tc>
        <w:tc>
          <w:tcPr>
            <w:tcW w:type="dxa" w:w="4536"/>
          </w:tcPr>
          <w:p>
            <w:r/>
            <w:r>
              <w:rPr>
                <w:sz w:val="19"/>
              </w:rPr>
              <w:t>0.089 m3/h per m (2.93 m3/h over 32.8 m of drawdown after 30 minutes)</w:t>
            </w:r>
          </w:p>
        </w:tc>
      </w:tr>
      <w:tr>
        <w:tc>
          <w:tcPr>
            <w:tcW w:type="dxa" w:w="4536"/>
          </w:tcPr>
          <w:p>
            <w:r/>
            <w:r>
              <w:rPr>
                <w:sz w:val="19"/>
              </w:rPr>
              <w:t>Safe yield</w:t>
            </w:r>
          </w:p>
        </w:tc>
        <w:tc>
          <w:tcPr>
            <w:tcW w:type="dxa" w:w="4536"/>
          </w:tcPr>
          <w:p>
            <w:r/>
            <w:r>
              <w:rPr>
                <w:sz w:val="19"/>
              </w:rPr>
              <w:t>0.39 m3/h (0.22 to 0.71)</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 at the end of the test</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Test discharge</w:t>
            </w:r>
          </w:p>
        </w:tc>
        <w:tc>
          <w:tcPr>
            <w:tcW w:type="dxa" w:w="2268"/>
          </w:tcPr>
          <w:p>
            <w:r/>
            <w:r>
              <w:rPr>
                <w:sz w:val="19"/>
              </w:rPr>
              <w:t>2.93 m3/h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Pump setting during the test</w:t>
            </w:r>
          </w:p>
        </w:tc>
        <w:tc>
          <w:tcPr>
            <w:tcW w:type="dxa" w:w="2268"/>
          </w:tcPr>
          <w:p>
            <w:r/>
            <w:r>
              <w:rPr>
                <w:sz w:val="19"/>
              </w:rPr>
              <w:t>67 m</w:t>
            </w:r>
          </w:p>
        </w:tc>
      </w:tr>
      <w:tr>
        <w:tc>
          <w:tcPr>
            <w:tcW w:type="dxa" w:w="2268"/>
          </w:tcPr>
          <w:p>
            <w:r/>
            <w:r>
              <w:rPr>
                <w:b/>
                <w:sz w:val="19"/>
              </w:rPr>
              <w:t>Recommended pump intake</w:t>
            </w:r>
          </w:p>
        </w:tc>
        <w:tc>
          <w:tcPr>
            <w:tcW w:type="dxa" w:w="2268"/>
          </w:tcPr>
          <w:p>
            <w:r/>
            <w:r>
              <w:rPr>
                <w:sz w:val="19"/>
              </w:rPr>
              <w:t>54 m below the top of the casing</w:t>
            </w:r>
          </w:p>
        </w:tc>
        <w:tc>
          <w:tcPr>
            <w:tcW w:type="dxa" w:w="2268"/>
          </w:tcPr>
          <w:p/>
        </w:tc>
        <w:tc>
          <w:tcPr>
            <w:tcW w:type="dxa" w:w="2268"/>
          </w:tcPr>
          <w:p/>
        </w:tc>
      </w:tr>
    </w:tbl>
    <w:p/>
    <w:p>
      <w:pPr>
        <w:pStyle w:val="Heading1"/>
      </w:pPr>
      <w:r>
        <w:t>9. Water Quality Summary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detected above the national limit (0); an indicator of ingress or inadequate wellhead protection, not of faecal contamination in itself, and WHO sets no health based guideline for it</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 which is provisional; the WHO acceptability value is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10. Recommendations and Conclusions</w:t>
      </w:r>
    </w:p>
    <w:p>
      <w:pPr>
        <w:pStyle w:val="ListBullet"/>
      </w:pPr>
      <w:r>
        <w:t>The borehole is recorded as successful. Whether it is sustainable at the recommended rate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w:t>
      </w:r>
    </w:p>
    <w:p>
      <w:pPr>
        <w:pStyle w:val="ListBullet"/>
      </w:pPr>
      <w:r>
        <w:t>The recommended abstraction rate is 0.391 m3/h (safety factor 1.5 applied to the long term yield, indicative).</w:t>
      </w:r>
    </w:p>
    <w:p>
      <w:pPr>
        <w:pStyle w:val="ListBullet"/>
      </w:pPr>
      <w:r>
        <w:t>The pump intake is set at 54 m below the top of the casing, in plain casing clear of the screens.</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