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Contractor: </w:t>
      </w:r>
      <w:r>
        <w:t>WiNGiN Heavy Duty Machines Co. Ltd</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19 m of screen, gravel pack and sanitary seal to 20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(0.22 to 0.71)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55942"/>
            <wp:docPr id="3" name="Picture 3"/>
            <wp:cNvGraphicFramePr>
              <a:graphicFrameLocks noChangeAspect="1"/>
            </wp:cNvGraphicFramePr>
            <a:graphic>
              <a:graphicData uri="http://schemas.openxmlformats.org/drawingml/2006/picture">
                <pic:pic>
                  <pic:nvPicPr>
                    <pic:cNvPr id="0" name="borehole_design_Dr_Timbo_s_Residence.png"/>
                    <pic:cNvPicPr/>
                  </pic:nvPicPr>
                  <pic:blipFill>
                    <a:blip r:embed="rId12"/>
                    <a:stretch>
                      <a:fillRect/>
                    </a:stretch>
                  </pic:blipFill>
                  <pic:spPr>
                    <a:xfrm>
                      <a:off x="0" y="0"/>
                      <a:ext cx="4680000" cy="7055942"/>
                    </a:xfrm>
                    <a:prstGeom prst="rect"/>
                  </pic:spPr>
                </pic:pic>
              </a:graphicData>
            </a:graphic>
          </wp:inline>
        </w:drawing>
      </w:r>
    </w:p>
    <w:p>
      <w:pPr>
        <w:pStyle w:val="Caption"/>
        <w:jc w:val="center"/>
      </w:pPr>
      <w:r>
        <w:rPr>
          <w:b/>
          <w:sz w:val="18"/>
        </w:rPr>
        <w:t>Figure 3.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 which is provisional; the WHO acceptability value is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pump house, apron and surroundings clean; no washing or animal watering at the tap stand.</w:t>
      </w:r>
    </w:p>
    <w:p>
      <w:pPr>
        <w:pStyle w:val="ListBullet"/>
      </w:pPr>
      <w:r>
        <w:t>Check for leaks, unusual pump or motor noise, discoloured water and a falling flow.</w:t>
      </w:r>
    </w:p>
    <w:p>
      <w:pPr>
        <w:pStyle w:val="ListBullet"/>
      </w:pPr>
      <w:r>
        <w:t>Keep the drainage channel and soakaway free flowing.</w:t>
      </w:r>
    </w:p>
    <w:p>
      <w:r>
        <w:rPr>
          <w:b/>
          <w:i w:val="0"/>
        </w:rPr>
        <w:t>Weekly</w:t>
      </w:r>
    </w:p>
    <w:p>
      <w:pPr>
        <w:pStyle w:val="ListBullet"/>
      </w:pPr>
      <w:r>
        <w:t>Record the hours of pumping and the meter reading, if fitted.</w:t>
      </w:r>
    </w:p>
    <w:p>
      <w:pPr>
        <w:pStyle w:val="ListBullet"/>
      </w:pPr>
      <w:r>
        <w:t>Check the control box, cables, starter and (for a solar pump) the array for damage, loose connections and shading.</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pPr>
        <w:pStyle w:val="ListBullet"/>
      </w:pPr>
      <w:r>
        <w:t>Check the running current against the commissioning value.</w:t>
      </w:r>
    </w:p>
    <w:p>
      <w:r>
        <w:rPr>
          <w:b/>
          <w:i w:val="0"/>
        </w:rPr>
        <w:t>Yearly</w:t>
      </w:r>
    </w:p>
    <w:p>
      <w:pPr>
        <w:pStyle w:val="ListBullet"/>
      </w:pPr>
      <w:r>
        <w:t>Service the pump and motor according to the manufacturer schedule; check the rising main and cable for corrosion and wear.</w:t>
      </w:r>
    </w:p>
    <w:p>
      <w:pPr>
        <w:pStyle w:val="ListBullet"/>
      </w:pPr>
      <w:r>
        <w:t>Repeat the physico-chemical and bacteriological water tests.</w:t>
      </w:r>
    </w:p>
    <w:p>
      <w:pPr>
        <w:pStyle w:val="ListBullet"/>
      </w:pPr>
      <w:r>
        <w:t>Review the tariff against the cost of spare parts and power.</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