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t>A. N. Geologist</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project area lies within the Freetown Basic Complex. The Freetown Complex is a layered gabbroic anorthosite intrusion emplaced against gneisses and schists of the Kasila Group, and it forms part of the Peninsula and Banana Islands. It is thought to have been formed by multiple injections of magma that occurred intermittently. Groundwater potential within the Freetown Basic Complex is found within weathered and fractured zones of these igneous (crystalline) rocks. Groundwater quality and quantity can be high if the borehole is properly located through appropriate hydrogeological and geophysical investigations.</w:t>
      </w:r>
    </w:p>
    <w:p>
      <w:pPr>
        <w:jc w:val="center"/>
      </w:pPr>
      <w:r>
        <w:drawing>
          <wp:inline xmlns:a="http://schemas.openxmlformats.org/drawingml/2006/main" xmlns:pic="http://schemas.openxmlformats.org/drawingml/2006/picture">
            <wp:extent cx="5400000" cy="5469742"/>
            <wp:docPr id="1" name="Picture 1"/>
            <wp:cNvGraphicFramePr>
              <a:graphicFrameLocks noChangeAspect="1"/>
            </wp:cNvGraphicFramePr>
            <a:graphic>
              <a:graphicData uri="http://schemas.openxmlformats.org/drawingml/2006/picture">
                <pic:pic>
                  <pic:nvPicPr>
                    <pic:cNvPr id="0" name="admin_map.png"/>
                    <pic:cNvPicPr/>
                  </pic:nvPicPr>
                  <pic:blipFill>
                    <a:blip r:embed="rId10"/>
                    <a:stretch>
                      <a:fillRect/>
                    </a:stretch>
                  </pic:blipFill>
                  <pic:spPr>
                    <a:xfrm>
                      <a:off x="0" y="0"/>
                      <a:ext cx="5400000" cy="5469742"/>
                    </a:xfrm>
                    <a:prstGeom prst="rect"/>
                  </pic:spPr>
                </pic:pic>
              </a:graphicData>
            </a:graphic>
          </wp:inline>
        </w:drawing>
      </w:r>
    </w:p>
    <w:p>
      <w:pPr>
        <w:jc w:val="center"/>
      </w:pPr>
      <w:r>
        <w:rPr>
          <w:b/>
          <w:sz w:val="18"/>
        </w:rPr>
        <w:t>Figure 1. Location of Rokel. Boundaries from geoBoundaries (CC BY 4.0).</w:t>
      </w:r>
    </w:p>
    <w:p>
      <w:pPr>
        <w:jc w:val="center"/>
      </w:pPr>
      <w:r>
        <w:drawing>
          <wp:inline xmlns:a="http://schemas.openxmlformats.org/drawingml/2006/main" xmlns:pic="http://schemas.openxmlformats.org/drawingml/2006/picture">
            <wp:extent cx="5400000" cy="3257729"/>
            <wp:docPr id="2" name="Picture 2"/>
            <wp:cNvGraphicFramePr>
              <a:graphicFrameLocks noChangeAspect="1"/>
            </wp:cNvGraphicFramePr>
            <a:graphic>
              <a:graphicData uri="http://schemas.openxmlformats.org/drawingml/2006/picture">
                <pic:pic>
                  <pic:nvPicPr>
                    <pic:cNvPr id="0" name="hydro_local_map.png"/>
                    <pic:cNvPicPr/>
                  </pic:nvPicPr>
                  <pic:blipFill>
                    <a:blip r:embed="rId11"/>
                    <a:stretch>
                      <a:fillRect/>
                    </a:stretch>
                  </pic:blipFill>
                  <pic:spPr>
                    <a:xfrm>
                      <a:off x="0" y="0"/>
                      <a:ext cx="5400000" cy="3257729"/>
                    </a:xfrm>
                    <a:prstGeom prst="rect"/>
                  </pic:spPr>
                </pic:pic>
              </a:graphicData>
            </a:graphic>
          </wp:inline>
        </w:drawing>
      </w:r>
    </w:p>
    <w:p>
      <w:pPr>
        <w:jc w:val="center"/>
      </w:pPr>
      <w:r>
        <w:rPr>
          <w:b/>
          <w:sz w:val="18"/>
        </w:rPr>
        <w:t>Figure 2. Aquifer type and productivity around the site, from the BGS Africa Groundwater Atlas country map (CC BY-SA 4.0).</w:t>
      </w:r>
    </w:p>
    <w:p>
      <w:pPr>
        <w:jc w:val="center"/>
      </w:pPr>
      <w:r>
        <w:drawing>
          <wp:inline xmlns:a="http://schemas.openxmlformats.org/drawingml/2006/main" xmlns:pic="http://schemas.openxmlformats.org/drawingml/2006/picture">
            <wp:extent cx="5400000" cy="4002595"/>
            <wp:docPr id="3" name="Picture 3"/>
            <wp:cNvGraphicFramePr>
              <a:graphicFrameLocks noChangeAspect="1"/>
            </wp:cNvGraphicFramePr>
            <a:graphic>
              <a:graphicData uri="http://schemas.openxmlformats.org/drawingml/2006/picture">
                <pic:pic>
                  <pic:nvPicPr>
                    <pic:cNvPr id="0" name="geology_local_map.png"/>
                    <pic:cNvPicPr/>
                  </pic:nvPicPr>
                  <pic:blipFill>
                    <a:blip r:embed="rId12"/>
                    <a:stretch>
                      <a:fillRect/>
                    </a:stretch>
                  </pic:blipFill>
                  <pic:spPr>
                    <a:xfrm>
                      <a:off x="0" y="0"/>
                      <a:ext cx="5400000" cy="4002595"/>
                    </a:xfrm>
                    <a:prstGeom prst="rect"/>
                  </pic:spPr>
                </pic:pic>
              </a:graphicData>
            </a:graphic>
          </wp:inline>
        </w:drawing>
      </w:r>
    </w:p>
    <w:p>
      <w:pPr>
        <w:jc w:val="center"/>
      </w:pPr>
      <w:r>
        <w:rPr>
          <w:b/>
          <w:sz w:val="18"/>
        </w:rPr>
        <w:t>Figure 3. Geological setting around the site, from the USGS Geologic Map of Africa (1:5,000,000). The Geology of Sierra Leone map (Ministry of Water Resources/SALWACO, 2017) gives the detailed local formations.</w:t>
      </w:r>
    </w:p>
    <w:p>
      <w:pPr>
        <w:pStyle w:val="Heading1"/>
      </w:pPr>
      <w:r>
        <w:t>3. Field Work</w:t>
      </w:r>
    </w:p>
    <w:p>
      <w:pPr>
        <w:pStyle w:val="Heading2"/>
      </w:pPr>
      <w:r>
        <w:t>3.1 Reconnaissance Survey</w:t>
      </w:r>
    </w:p>
    <w:p>
      <w:pPr>
        <w:jc w:val="both"/>
      </w:pPr>
      <w:r>
        <w:rPr>
          <w:b w:val="0"/>
          <w:i w:val="0"/>
        </w:rPr>
        <w:t>The aim of the reconnaissance survey was to select suitable points for the geophysical survey. Existing water points, environmental and other physical conditions were also assessed. The field reconnaissance survey was conducted on 8th December, 2015.</w:t>
      </w:r>
    </w:p>
    <w:p>
      <w:r>
        <w:rPr>
          <w:b/>
          <w:i w:val="0"/>
        </w:rPr>
        <w:t>Geomorphological survey of the area</w:t>
      </w:r>
    </w:p>
    <w:p>
      <w:pPr>
        <w:jc w:val="both"/>
      </w:pPr>
      <w:r>
        <w:rPr>
          <w:b w:val="0"/>
          <w:i w:val="0"/>
        </w:rPr>
        <w:t>The landscape and other physical features of the area were examined, including slopes, drainage lines and streams, since there is normally hydraulic continuity between groundwater and surface water.</w:t>
      </w:r>
    </w:p>
    <w:p>
      <w:r>
        <w:rPr>
          <w:b/>
          <w:i w:val="0"/>
        </w:rPr>
        <w:t>Geological and hydrogeological survey to determine the formation of the area and identify possible features</w:t>
      </w:r>
    </w:p>
    <w:p>
      <w:pPr>
        <w:jc w:val="both"/>
      </w:pPr>
      <w:r>
        <w:rPr>
          <w:b w:val="0"/>
          <w:i w:val="0"/>
        </w:rPr>
        <w:t>The weathered products overlying the bedrock were assessed as the principal prospect for groundwater, since groundwater occurs mostly in weathered and unconsolidated materials compared with consolidated and crystalline rocks.</w:t>
      </w:r>
    </w:p>
    <w:p>
      <w:r>
        <w:rPr>
          <w:b/>
          <w:i w:val="0"/>
        </w:rPr>
        <w:t>Selection of traverse line for the geophysical survey</w:t>
      </w:r>
    </w:p>
    <w:p>
      <w:pPr>
        <w:jc w:val="both"/>
      </w:pPr>
      <w:r>
        <w:rPr>
          <w:b w:val="0"/>
          <w:i w:val="0"/>
        </w:rPr>
        <w:t>The traverse line for the resistivity survey was selected on the basis of geomorphologic and geological/hydrogeological features as well as the location of the project area. Points for the vertical electrical soundings were selected considering the available space and the environmental and other physical conditions, and the proposed borehole locations were marked with pegs for identification.</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Resistivity Profiling</w:t>
      </w:r>
    </w:p>
    <w:p>
      <w:pPr>
        <w:jc w:val="both"/>
      </w:pPr>
      <w:r>
        <w:rPr>
          <w:b w:val="0"/>
          <w:i w:val="0"/>
        </w:rPr>
        <w:t>Electrical resistivity profiling is usually carried out along a selected traverse of 50 m to 100 m length at 10 m intervals to determine the lateral variation of subsurface resistivities and delineate anomalous points with groundwater potential. Where the available land extent does not permit profiling, the vertical electrical soundings are carried out at the selected points directly.</w:t>
      </w:r>
    </w:p>
    <w:p>
      <w:pPr>
        <w:pStyle w:val="Heading3"/>
      </w:pPr>
      <w:r>
        <w:t>3.2.2 Selection of VES Points</w:t>
      </w:r>
    </w:p>
    <w:p>
      <w:pPr>
        <w:jc w:val="both"/>
      </w:pPr>
      <w:r>
        <w:rPr>
          <w:b w:val="0"/>
          <w:i w:val="0"/>
        </w:rPr>
        <w:t>2 vertical electrical sounding point(s) were selected based on the available space and the location of the project area, considering geological, hydrogeological and environmental conditions. The points are labelled A (1), B (2) in this report.</w:t>
      </w:r>
    </w:p>
    <w:p>
      <w:pPr>
        <w:pStyle w:val="Heading3"/>
      </w:pPr>
      <w:r>
        <w:t>3.2.3 Vertical Electrical Sounding (VES)</w:t>
      </w:r>
    </w:p>
    <w:p>
      <w:pPr>
        <w:jc w:val="both"/>
      </w:pPr>
      <w:r>
        <w:rPr>
          <w:b w:val="0"/>
          <w:i w:val="0"/>
        </w:rPr>
        <w:t>Vertical electrical soundings were carried out with the aim of determining the formation resistivities and the depth to bedrock, as well as the possibility of finding water bearing fractures or aquifers at depth with their corresponding thicknesses. The Schlumberger electrode configuration and the required procedures were used for the soundings.</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4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806299"/>
            <wp:docPr id="4" name="Picture 4"/>
            <wp:cNvGraphicFramePr>
              <a:graphicFrameLocks noChangeAspect="1"/>
            </wp:cNvGraphicFramePr>
            <a:graphic>
              <a:graphicData uri="http://schemas.openxmlformats.org/drawingml/2006/picture">
                <pic:pic>
                  <pic:nvPicPr>
                    <pic:cNvPr id="0" name="ves_curve_A_1.png"/>
                    <pic:cNvPicPr/>
                  </pic:nvPicPr>
                  <pic:blipFill>
                    <a:blip r:embed="rId13"/>
                    <a:stretch>
                      <a:fillRect/>
                    </a:stretch>
                  </pic:blipFill>
                  <pic:spPr>
                    <a:xfrm>
                      <a:off x="0" y="0"/>
                      <a:ext cx="5400000" cy="2806299"/>
                    </a:xfrm>
                    <a:prstGeom prst="rect"/>
                  </pic:spPr>
                </pic:pic>
              </a:graphicData>
            </a:graphic>
          </wp:inline>
        </w:drawing>
      </w:r>
    </w:p>
    <w:p>
      <w:pPr>
        <w:jc w:val="center"/>
      </w:pPr>
      <w:r>
        <w:rPr>
          <w:b/>
          <w:sz w:val="18"/>
        </w:rPr>
        <w:t>Figure 4. Schlumberger array VES curve and model at point A (1).</w:t>
      </w:r>
    </w:p>
    <w:p>
      <w:r>
        <w:rPr>
          <w:b/>
          <w:sz w:val="18"/>
        </w:rPr>
        <w:t>Table 2. Layered earth model at point A (1) (curve type K, ERR = 13.3%).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w:t>
            </w:r>
          </w:p>
        </w:tc>
        <w:tc>
          <w:tcPr>
            <w:tcW w:type="dxa" w:w="2268"/>
            <w:shd w:val="clear" w:fill="1F5C8B"/>
          </w:tcPr>
          <w:p>
            <w:r/>
            <w:r>
              <w:rPr>
                <w:b/>
                <w:color w:val="FFFFFF"/>
                <w:sz w:val="19"/>
              </w:rPr>
              <w:t>rho (ohm-m)</w:t>
            </w:r>
          </w:p>
        </w:tc>
        <w:tc>
          <w:tcPr>
            <w:tcW w:type="dxa" w:w="1701"/>
            <w:shd w:val="clear" w:fill="1F5C8B"/>
          </w:tcPr>
          <w:p>
            <w:r/>
            <w:r>
              <w:rPr>
                <w:b/>
                <w:color w:val="FFFFFF"/>
                <w:sz w:val="19"/>
              </w:rPr>
              <w:t>h (m)</w:t>
            </w:r>
          </w:p>
        </w:tc>
        <w:tc>
          <w:tcPr>
            <w:tcW w:type="dxa" w:w="1701"/>
            <w:shd w:val="clear" w:fill="1F5C8B"/>
          </w:tcPr>
          <w:p>
            <w:r/>
            <w:r>
              <w:rPr>
                <w:b/>
                <w:color w:val="FFFFFF"/>
                <w:sz w:val="19"/>
              </w:rPr>
              <w:t>z (m)</w:t>
            </w:r>
          </w:p>
        </w:tc>
      </w:tr>
      <w:tr>
        <w:tc>
          <w:tcPr>
            <w:tcW w:type="dxa" w:w="850"/>
          </w:tcPr>
          <w:p>
            <w:r/>
            <w:r>
              <w:rPr>
                <w:sz w:val="19"/>
              </w:rPr>
              <w:t>1</w:t>
            </w:r>
          </w:p>
        </w:tc>
        <w:tc>
          <w:tcPr>
            <w:tcW w:type="dxa" w:w="2268"/>
          </w:tcPr>
          <w:p>
            <w:r/>
            <w:r>
              <w:rPr>
                <w:sz w:val="19"/>
              </w:rPr>
              <w:t>1,105</w:t>
            </w:r>
          </w:p>
        </w:tc>
        <w:tc>
          <w:tcPr>
            <w:tcW w:type="dxa" w:w="1701"/>
          </w:tcPr>
          <w:p>
            <w:r/>
            <w:r>
              <w:rPr>
                <w:sz w:val="19"/>
              </w:rPr>
              <w:t>1.02</w:t>
            </w:r>
          </w:p>
        </w:tc>
        <w:tc>
          <w:tcPr>
            <w:tcW w:type="dxa" w:w="1701"/>
          </w:tcPr>
          <w:p>
            <w:r/>
            <w:r>
              <w:rPr>
                <w:sz w:val="19"/>
              </w:rPr>
              <w:t>0/0</w:t>
            </w:r>
          </w:p>
        </w:tc>
      </w:tr>
      <w:tr>
        <w:tc>
          <w:tcPr>
            <w:tcW w:type="dxa" w:w="850"/>
          </w:tcPr>
          <w:p>
            <w:r/>
            <w:r>
              <w:rPr>
                <w:sz w:val="19"/>
              </w:rPr>
              <w:t>2</w:t>
            </w:r>
          </w:p>
        </w:tc>
        <w:tc>
          <w:tcPr>
            <w:tcW w:type="dxa" w:w="2268"/>
          </w:tcPr>
          <w:p>
            <w:r/>
            <w:r>
              <w:rPr>
                <w:sz w:val="19"/>
              </w:rPr>
              <w:t>1,638</w:t>
            </w:r>
          </w:p>
        </w:tc>
        <w:tc>
          <w:tcPr>
            <w:tcW w:type="dxa" w:w="1701"/>
          </w:tcPr>
          <w:p>
            <w:r/>
            <w:r>
              <w:rPr>
                <w:sz w:val="19"/>
              </w:rPr>
              <w:t>7.08</w:t>
            </w:r>
          </w:p>
        </w:tc>
        <w:tc>
          <w:tcPr>
            <w:tcW w:type="dxa" w:w="1701"/>
          </w:tcPr>
          <w:p>
            <w:r/>
            <w:r>
              <w:rPr>
                <w:sz w:val="19"/>
              </w:rPr>
              <w:t>1.02</w:t>
            </w:r>
          </w:p>
        </w:tc>
      </w:tr>
      <w:tr>
        <w:tc>
          <w:tcPr>
            <w:tcW w:type="dxa" w:w="850"/>
          </w:tcPr>
          <w:p>
            <w:r/>
            <w:r>
              <w:rPr>
                <w:sz w:val="19"/>
              </w:rPr>
              <w:t>3</w:t>
            </w:r>
          </w:p>
        </w:tc>
        <w:tc>
          <w:tcPr>
            <w:tcW w:type="dxa" w:w="2268"/>
          </w:tcPr>
          <w:p>
            <w:r/>
            <w:r>
              <w:rPr>
                <w:sz w:val="19"/>
              </w:rPr>
              <w:t>47.28</w:t>
            </w:r>
          </w:p>
        </w:tc>
        <w:tc>
          <w:tcPr>
            <w:tcW w:type="dxa" w:w="1701"/>
          </w:tcPr>
          <w:p>
            <w:r/>
            <w:r>
              <w:rPr>
                <w:sz w:val="19"/>
              </w:rPr>
            </w:r>
          </w:p>
        </w:tc>
        <w:tc>
          <w:tcPr>
            <w:tcW w:type="dxa" w:w="1701"/>
          </w:tcPr>
          <w:p>
            <w:r/>
            <w:r>
              <w:rPr>
                <w:sz w:val="19"/>
              </w:rPr>
              <w:t>8.1</w:t>
            </w:r>
          </w:p>
        </w:tc>
      </w:tr>
    </w:tbl>
    <w:p/>
    <w:p>
      <w:pPr>
        <w:jc w:val="center"/>
      </w:pPr>
      <w:r>
        <w:drawing>
          <wp:inline xmlns:a="http://schemas.openxmlformats.org/drawingml/2006/main" xmlns:pic="http://schemas.openxmlformats.org/drawingml/2006/picture">
            <wp:extent cx="5400000" cy="4280861"/>
            <wp:docPr id="5" name="Picture 5"/>
            <wp:cNvGraphicFramePr>
              <a:graphicFrameLocks noChangeAspect="1"/>
            </wp:cNvGraphicFramePr>
            <a:graphic>
              <a:graphicData uri="http://schemas.openxmlformats.org/drawingml/2006/picture">
                <pic:pic>
                  <pic:nvPicPr>
                    <pic:cNvPr id="0" name="ves_pseudosection_A_1.png"/>
                    <pic:cNvPicPr/>
                  </pic:nvPicPr>
                  <pic:blipFill>
                    <a:blip r:embed="rId14"/>
                    <a:stretch>
                      <a:fillRect/>
                    </a:stretch>
                  </pic:blipFill>
                  <pic:spPr>
                    <a:xfrm>
                      <a:off x="0" y="0"/>
                      <a:ext cx="5400000" cy="4280861"/>
                    </a:xfrm>
                    <a:prstGeom prst="rect"/>
                  </pic:spPr>
                </pic:pic>
              </a:graphicData>
            </a:graphic>
          </wp:inline>
        </w:drawing>
      </w:r>
    </w:p>
    <w:p>
      <w:pPr>
        <w:jc w:val="center"/>
      </w:pPr>
      <w:r>
        <w:rPr>
          <w:b/>
          <w:sz w:val="18"/>
        </w:rPr>
        <w:t>Figure 5. Pseudo-section showing resistivity and layer thicknesses at point A (1).</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1,105 ohm-m and is interpreted as dry lateritic topsoil / duricrust. Layer 2 from 1.02 m to 8.1 m (7.08 m thick) has a resistivity of about 1,638 ohm-m and is interpreted as compact or dry weathered rock (regolith). Layer 3 below 8.1 m has a resistivity of about 47.28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w:t>
      </w:r>
    </w:p>
    <w:p>
      <w:r>
        <w:br w:type="page"/>
      </w:r>
    </w:p>
    <w:p>
      <w:pPr>
        <w:jc w:val="both"/>
      </w:pPr>
      <w:r>
        <w:rPr>
          <w:b w:val="0"/>
          <w:i w:val="0"/>
        </w:rPr>
        <w:t>Table 3 presents the Schlumberger array VES data recorded at point B (2), from which the sounding curve of apparent resistivity against half the current electrode spacing (AB/2) in Figure 6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r>
        <w:rPr>
          <w:b/>
          <w:sz w:val="18"/>
        </w:rPr>
        <w:t>Table 3.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806299"/>
            <wp:docPr id="6" name="Picture 6"/>
            <wp:cNvGraphicFramePr>
              <a:graphicFrameLocks noChangeAspect="1"/>
            </wp:cNvGraphicFramePr>
            <a:graphic>
              <a:graphicData uri="http://schemas.openxmlformats.org/drawingml/2006/picture">
                <pic:pic>
                  <pic:nvPicPr>
                    <pic:cNvPr id="0" name="ves_curve_B_2.png"/>
                    <pic:cNvPicPr/>
                  </pic:nvPicPr>
                  <pic:blipFill>
                    <a:blip r:embed="rId15"/>
                    <a:stretch>
                      <a:fillRect/>
                    </a:stretch>
                  </pic:blipFill>
                  <pic:spPr>
                    <a:xfrm>
                      <a:off x="0" y="0"/>
                      <a:ext cx="5400000" cy="2806299"/>
                    </a:xfrm>
                    <a:prstGeom prst="rect"/>
                  </pic:spPr>
                </pic:pic>
              </a:graphicData>
            </a:graphic>
          </wp:inline>
        </w:drawing>
      </w:r>
    </w:p>
    <w:p>
      <w:pPr>
        <w:jc w:val="center"/>
      </w:pPr>
      <w:r>
        <w:rPr>
          <w:b/>
          <w:sz w:val="18"/>
        </w:rPr>
        <w:t>Figure 6. Schlumberger array VES curve and model at point B (2).</w:t>
      </w:r>
    </w:p>
    <w:p>
      <w:r>
        <w:rPr>
          <w:b/>
          <w:sz w:val="18"/>
        </w:rPr>
        <w:t>Table 4. Layered earth model at point B (2) (curve type 2-layer descending, ERR = 26.8%).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w:t>
            </w:r>
          </w:p>
        </w:tc>
        <w:tc>
          <w:tcPr>
            <w:tcW w:type="dxa" w:w="2268"/>
            <w:shd w:val="clear" w:fill="1F5C8B"/>
          </w:tcPr>
          <w:p>
            <w:r/>
            <w:r>
              <w:rPr>
                <w:b/>
                <w:color w:val="FFFFFF"/>
                <w:sz w:val="19"/>
              </w:rPr>
              <w:t>rho (ohm-m)</w:t>
            </w:r>
          </w:p>
        </w:tc>
        <w:tc>
          <w:tcPr>
            <w:tcW w:type="dxa" w:w="1701"/>
            <w:shd w:val="clear" w:fill="1F5C8B"/>
          </w:tcPr>
          <w:p>
            <w:r/>
            <w:r>
              <w:rPr>
                <w:b/>
                <w:color w:val="FFFFFF"/>
                <w:sz w:val="19"/>
              </w:rPr>
              <w:t>h (m)</w:t>
            </w:r>
          </w:p>
        </w:tc>
        <w:tc>
          <w:tcPr>
            <w:tcW w:type="dxa" w:w="1701"/>
            <w:shd w:val="clear" w:fill="1F5C8B"/>
          </w:tcPr>
          <w:p>
            <w:r/>
            <w:r>
              <w:rPr>
                <w:b/>
                <w:color w:val="FFFFFF"/>
                <w:sz w:val="19"/>
              </w:rPr>
              <w:t>z (m)</w:t>
            </w:r>
          </w:p>
        </w:tc>
      </w:tr>
      <w:tr>
        <w:tc>
          <w:tcPr>
            <w:tcW w:type="dxa" w:w="850"/>
          </w:tcPr>
          <w:p>
            <w:r/>
            <w:r>
              <w:rPr>
                <w:sz w:val="19"/>
              </w:rPr>
              <w:t>1</w:t>
            </w:r>
          </w:p>
        </w:tc>
        <w:tc>
          <w:tcPr>
            <w:tcW w:type="dxa" w:w="2268"/>
          </w:tcPr>
          <w:p>
            <w:r/>
            <w:r>
              <w:rPr>
                <w:sz w:val="19"/>
              </w:rPr>
              <w:t>1,193</w:t>
            </w:r>
          </w:p>
        </w:tc>
        <w:tc>
          <w:tcPr>
            <w:tcW w:type="dxa" w:w="1701"/>
          </w:tcPr>
          <w:p>
            <w:r/>
            <w:r>
              <w:rPr>
                <w:sz w:val="19"/>
              </w:rPr>
              <w:t>8.28</w:t>
            </w:r>
          </w:p>
        </w:tc>
        <w:tc>
          <w:tcPr>
            <w:tcW w:type="dxa" w:w="1701"/>
          </w:tcPr>
          <w:p>
            <w:r/>
            <w:r>
              <w:rPr>
                <w:sz w:val="19"/>
              </w:rPr>
              <w:t>0/0</w:t>
            </w:r>
          </w:p>
        </w:tc>
      </w:tr>
      <w:tr>
        <w:tc>
          <w:tcPr>
            <w:tcW w:type="dxa" w:w="850"/>
          </w:tcPr>
          <w:p>
            <w:r/>
            <w:r>
              <w:rPr>
                <w:sz w:val="19"/>
              </w:rPr>
              <w:t>2</w:t>
            </w:r>
          </w:p>
        </w:tc>
        <w:tc>
          <w:tcPr>
            <w:tcW w:type="dxa" w:w="2268"/>
          </w:tcPr>
          <w:p>
            <w:r/>
            <w:r>
              <w:rPr>
                <w:sz w:val="19"/>
              </w:rPr>
              <w:t>49.97</w:t>
            </w:r>
          </w:p>
        </w:tc>
        <w:tc>
          <w:tcPr>
            <w:tcW w:type="dxa" w:w="1701"/>
          </w:tcPr>
          <w:p>
            <w:r/>
            <w:r>
              <w:rPr>
                <w:sz w:val="19"/>
              </w:rPr>
            </w:r>
          </w:p>
        </w:tc>
        <w:tc>
          <w:tcPr>
            <w:tcW w:type="dxa" w:w="1701"/>
          </w:tcPr>
          <w:p>
            <w:r/>
            <w:r>
              <w:rPr>
                <w:sz w:val="19"/>
              </w:rPr>
              <w:t>8.28</w:t>
            </w:r>
          </w:p>
        </w:tc>
      </w:tr>
    </w:tbl>
    <w:p/>
    <w:p>
      <w:pPr>
        <w:jc w:val="center"/>
      </w:pPr>
      <w:r>
        <w:drawing>
          <wp:inline xmlns:a="http://schemas.openxmlformats.org/drawingml/2006/main" xmlns:pic="http://schemas.openxmlformats.org/drawingml/2006/picture">
            <wp:extent cx="5400000" cy="4280861"/>
            <wp:docPr id="7" name="Picture 7"/>
            <wp:cNvGraphicFramePr>
              <a:graphicFrameLocks noChangeAspect="1"/>
            </wp:cNvGraphicFramePr>
            <a:graphic>
              <a:graphicData uri="http://schemas.openxmlformats.org/drawingml/2006/picture">
                <pic:pic>
                  <pic:nvPicPr>
                    <pic:cNvPr id="0" name="ves_pseudosection_B_2.png"/>
                    <pic:cNvPicPr/>
                  </pic:nvPicPr>
                  <pic:blipFill>
                    <a:blip r:embed="rId16"/>
                    <a:stretch>
                      <a:fillRect/>
                    </a:stretch>
                  </pic:blipFill>
                  <pic:spPr>
                    <a:xfrm>
                      <a:off x="0" y="0"/>
                      <a:ext cx="5400000" cy="4280861"/>
                    </a:xfrm>
                    <a:prstGeom prst="rect"/>
                  </pic:spPr>
                </pic:pic>
              </a:graphicData>
            </a:graphic>
          </wp:inline>
        </w:drawing>
      </w:r>
    </w:p>
    <w:p>
      <w:pPr>
        <w:jc w:val="center"/>
      </w:pPr>
      <w:r>
        <w:rPr>
          <w:b/>
          <w:sz w:val="18"/>
        </w:rPr>
        <w:t>Figure 7. Pseudo-section showing resistivity and layer thicknesses at point B (2).</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w:t>
      </w:r>
    </w:p>
    <w:p>
      <w:r>
        <w:br w:type="page"/>
      </w:r>
    </w:p>
    <w:p>
      <w:r>
        <w:rPr>
          <w:b/>
          <w:sz w:val="18"/>
        </w:rPr>
        <w:t>Table 5. List of VES points in order of preference for drilling.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Apparent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1,105</w:t>
              <w:br/>
              <w:t>1,638</w:t>
              <w:br/>
              <w:t>47.28</w:t>
            </w:r>
          </w:p>
        </w:tc>
        <w:tc>
          <w:tcPr>
            <w:tcW w:type="dxa" w:w="1008"/>
          </w:tcPr>
          <w:p>
            <w:r/>
            <w:r>
              <w:rPr>
                <w:sz w:val="17"/>
              </w:rPr>
              <w:t>8-80</w:t>
            </w:r>
          </w:p>
        </w:tc>
        <w:tc>
          <w:tcPr>
            <w:tcW w:type="dxa" w:w="1008"/>
          </w:tcPr>
          <w:p>
            <w:r/>
            <w:r>
              <w:rPr>
                <w:sz w:val="17"/>
              </w:rPr>
              <w:t>80 m</w:t>
            </w:r>
          </w:p>
        </w:tc>
        <w:tc>
          <w:tcPr>
            <w:tcW w:type="dxa" w:w="1008"/>
          </w:tcPr>
          <w:p>
            <w:r/>
            <w:r>
              <w:rPr>
                <w:sz w:val="17"/>
              </w:rPr>
              <w:t>2nd</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8-80</w:t>
            </w:r>
          </w:p>
        </w:tc>
        <w:tc>
          <w:tcPr>
            <w:tcW w:type="dxa" w:w="1008"/>
          </w:tcPr>
          <w:p>
            <w:r/>
            <w:r>
              <w:rPr>
                <w:sz w:val="17"/>
              </w:rPr>
              <w:t>80 m</w:t>
            </w:r>
          </w:p>
        </w:tc>
        <w:tc>
          <w:tcPr>
            <w:tcW w:type="dxa" w:w="1008"/>
          </w:tcPr>
          <w:p>
            <w:r/>
            <w:r>
              <w:rPr>
                <w:sz w:val="17"/>
              </w:rPr>
              <w:t>1st</w:t>
            </w:r>
          </w:p>
        </w:tc>
      </w:tr>
    </w:tbl>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between 8 m to 80 m.</w:t>
      </w:r>
    </w:p>
    <w:p>
      <w:pPr>
        <w:pStyle w:val="ListBullet"/>
      </w:pPr>
      <w:r>
        <w:t>The potential water zones at point B (2) are found between 8 m to 80 m.</w:t>
      </w:r>
    </w:p>
    <w:p>
      <w:pPr>
        <w:pStyle w:val="ListBullet"/>
      </w:pPr>
      <w:r>
        <w:t>Point B (2)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B (2) to confirm the existence of groundwater.</w:t>
      </w:r>
    </w:p>
    <w:p>
      <w:pPr>
        <w:pStyle w:val="ListBullet"/>
      </w:pPr>
      <w:r>
        <w:t>Point(s) A (1) are optional drilling points.</w:t>
      </w:r>
    </w:p>
    <w:p>
      <w:pPr>
        <w:pStyle w:val="ListBullet"/>
      </w:pPr>
      <w:r>
        <w:t>The maximum drilling depth should be 80 m at point B (2); 80 m at point A (1), to cut across the probable water zones for sustainable productivity and a high yield of the borehole(s).</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E).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20.8 km apart, which is unusually far for one site; check the coordinates.</w:t>
      </w:r>
    </w:p>
    <w:p>
      <w:r>
        <w:rPr>
          <w:b/>
          <w:i w:val="0"/>
        </w:rPr>
        <w:t>REPORT SUBMITTED BY:</w:t>
      </w:r>
    </w:p>
    <w:p/>
    <w:p/>
    <w:p>
      <w:r>
        <w:rPr>
          <w:b w:val="0"/>
          <w:i w:val="0"/>
        </w:rPr>
        <w:t>..............................</w:t>
      </w:r>
    </w:p>
    <w:p>
      <w:r>
        <w:rPr>
          <w:b/>
          <w:i w:val="0"/>
        </w:rPr>
        <w:t>A. N. Geologist</w:t>
      </w:r>
    </w:p>
    <w:p>
      <w:r>
        <w:rPr>
          <w:b w:val="0"/>
          <w:i/>
        </w:rPr>
        <w:t>Geologist / Field Supervisor</w:t>
      </w:r>
    </w:p>
    <w:p>
      <w:r>
        <w:rPr>
          <w:b w:val="0"/>
          <w:i w:val="0"/>
        </w:rPr>
        <w:t>Cell: +232 00 000 000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