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Chance of a working borehole</w:t>
        <w:br/>
        <w:t xml:space="preserve">        The value of one more measurement</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rPr>
          <w:b/>
          <w:i w:val="0"/>
        </w:rPr>
        <w:t>Decision numbers:</w:t>
      </w:r>
    </w:p>
    <w:p>
      <w:pPr>
        <w:pStyle w:val="ListBullet"/>
      </w:pPr>
      <w:r>
        <w:t>Drilling depth at A (1): at least 40 m (P10 and P90 of the models that fit, both 40 m); basis: the best fit's interpretation, with the band from the drilling depth of each of 4000 models sampled around it, rounded up to 5 m and cut back to the 40 m the sounding resolves; provisional.</w:t>
      </w:r>
    </w:p>
    <w:p>
      <w:pPr>
        <w:pStyle w:val="ListBullet"/>
      </w:pPr>
      <w:r>
        <w:t>Chance of a working borehole at A (1): 96 percent (P10 to P90 of the prior carried through the survey's factors, 88 to over 99 percent); basis: the prior from success_prior.csv, held as firmly as 10 boreholes, and the likelihood ratios from success_evidence.yaml; provisional.</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8032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8032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45291"/>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45291"/>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874222"/>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874222"/>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68215"/>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68215"/>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003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003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1,105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1,637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100 percent of the models that fit, within the 40 m the sounding resolves. Water-bearing weathered zone 31 to 34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31.6</w:t>
            </w:r>
          </w:p>
        </w:tc>
        <w:tc>
          <w:tcPr>
            <w:tcW w:type="dxa" w:w="1247"/>
          </w:tcPr>
          <w:p>
            <w:r/>
            <w:r>
              <w:rPr>
                <w:sz w:val="19"/>
              </w:rPr>
              <w:t>34.2</w:t>
            </w:r>
          </w:p>
        </w:tc>
      </w:tr>
      <w:tr>
        <w:tc>
          <w:tcPr>
            <w:tcW w:type="dxa" w:w="3628"/>
          </w:tcPr>
          <w:p>
            <w:r/>
            <w:r>
              <w:rPr>
                <w:sz w:val="19"/>
              </w:rPr>
              <w:t>Resistivity of layer 1 (ohm-m)</w:t>
            </w:r>
          </w:p>
        </w:tc>
        <w:tc>
          <w:tcPr>
            <w:tcW w:type="dxa" w:w="1247"/>
          </w:tcPr>
          <w:p>
            <w:r/>
            <w:r>
              <w:rPr>
                <w:sz w:val="19"/>
              </w:rPr>
              <w:t>947</w:t>
            </w:r>
          </w:p>
        </w:tc>
        <w:tc>
          <w:tcPr>
            <w:tcW w:type="dxa" w:w="1247"/>
          </w:tcPr>
          <w:p>
            <w:r/>
            <w:r>
              <w:rPr>
                <w:sz w:val="19"/>
              </w:rPr>
              <w:t>1,360</w:t>
            </w:r>
          </w:p>
        </w:tc>
        <w:tc>
          <w:tcPr>
            <w:tcW w:type="dxa" w:w="1247"/>
          </w:tcPr>
          <w:p>
            <w:r/>
            <w:r>
              <w:rPr>
                <w:sz w:val="19"/>
              </w:rPr>
              <w:t>1,530</w:t>
            </w:r>
          </w:p>
        </w:tc>
      </w:tr>
      <w:tr>
        <w:tc>
          <w:tcPr>
            <w:tcW w:type="dxa" w:w="3628"/>
          </w:tcPr>
          <w:p>
            <w:r/>
            <w:r>
              <w:rPr>
                <w:sz w:val="19"/>
              </w:rPr>
              <w:t>Resistivity of layer 2 (ohm-m)</w:t>
            </w:r>
          </w:p>
        </w:tc>
        <w:tc>
          <w:tcPr>
            <w:tcW w:type="dxa" w:w="1247"/>
          </w:tcPr>
          <w:p>
            <w:r/>
            <w:r>
              <w:rPr>
                <w:sz w:val="19"/>
              </w:rPr>
              <w:t>0.628</w:t>
            </w:r>
          </w:p>
        </w:tc>
        <w:tc>
          <w:tcPr>
            <w:tcW w:type="dxa" w:w="1247"/>
          </w:tcPr>
          <w:p>
            <w:r/>
            <w:r>
              <w:rPr>
                <w:sz w:val="19"/>
              </w:rPr>
              <w:t>1,480</w:t>
            </w:r>
          </w:p>
        </w:tc>
        <w:tc>
          <w:tcPr>
            <w:tcW w:type="dxa" w:w="1247"/>
          </w:tcPr>
          <w:p>
            <w:r/>
            <w:r>
              <w:rPr>
                <w:sz w:val="19"/>
              </w:rPr>
              <w:t>2,900</w:t>
            </w:r>
          </w:p>
        </w:tc>
      </w:tr>
      <w:tr>
        <w:tc>
          <w:tcPr>
            <w:tcW w:type="dxa" w:w="3628"/>
          </w:tcPr>
          <w:p>
            <w:r/>
            <w:r>
              <w:rPr>
                <w:sz w:val="19"/>
              </w:rPr>
              <w:t>Resistivity of layer 3 (ohm-m)</w:t>
            </w:r>
          </w:p>
        </w:tc>
        <w:tc>
          <w:tcPr>
            <w:tcW w:type="dxa" w:w="1247"/>
          </w:tcPr>
          <w:p>
            <w:r/>
            <w:r>
              <w:rPr>
                <w:sz w:val="19"/>
              </w:rPr>
              <w:t>39.9</w:t>
            </w:r>
          </w:p>
        </w:tc>
        <w:tc>
          <w:tcPr>
            <w:tcW w:type="dxa" w:w="1247"/>
          </w:tcPr>
          <w:p>
            <w:r/>
            <w:r>
              <w:rPr>
                <w:sz w:val="19"/>
              </w:rPr>
              <w:t>45.7</w:t>
            </w:r>
          </w:p>
        </w:tc>
        <w:tc>
          <w:tcPr>
            <w:tcW w:type="dxa" w:w="1247"/>
          </w:tcPr>
          <w:p>
            <w:r/>
            <w:r>
              <w:rPr>
                <w:sz w:val="19"/>
              </w:rPr>
              <w:t>61.3</w:t>
            </w:r>
          </w:p>
        </w:tc>
      </w:tr>
      <w:tr>
        <w:tc>
          <w:tcPr>
            <w:tcW w:type="dxa" w:w="3628"/>
          </w:tcPr>
          <w:p>
            <w:r/>
            <w:r>
              <w:rPr>
                <w:sz w:val="19"/>
              </w:rPr>
              <w:t>Base of layer 1 (m)</w:t>
            </w:r>
          </w:p>
        </w:tc>
        <w:tc>
          <w:tcPr>
            <w:tcW w:type="dxa" w:w="1247"/>
          </w:tcPr>
          <w:p>
            <w:r/>
            <w:r>
              <w:rPr>
                <w:sz w:val="19"/>
              </w:rPr>
              <w:t>0.669</w:t>
            </w:r>
          </w:p>
        </w:tc>
        <w:tc>
          <w:tcPr>
            <w:tcW w:type="dxa" w:w="1247"/>
          </w:tcPr>
          <w:p>
            <w:r/>
            <w:r>
              <w:rPr>
                <w:sz w:val="19"/>
              </w:rPr>
              <w:t>5.33</w:t>
            </w:r>
          </w:p>
        </w:tc>
        <w:tc>
          <w:tcPr>
            <w:tcW w:type="dxa" w:w="1247"/>
          </w:tcPr>
          <w:p>
            <w:r/>
            <w:r>
              <w:rPr>
                <w:sz w:val="19"/>
              </w:rPr>
              <w:t>8.93</w:t>
            </w:r>
          </w:p>
        </w:tc>
      </w:tr>
      <w:tr>
        <w:tc>
          <w:tcPr>
            <w:tcW w:type="dxa" w:w="3628"/>
          </w:tcPr>
          <w:p>
            <w:r/>
            <w:r>
              <w:rPr>
                <w:sz w:val="19"/>
              </w:rPr>
              <w:t>Base of layer 2 (m)</w:t>
            </w:r>
          </w:p>
        </w:tc>
        <w:tc>
          <w:tcPr>
            <w:tcW w:type="dxa" w:w="1247"/>
          </w:tcPr>
          <w:p>
            <w:r/>
            <w:r>
              <w:rPr>
                <w:sz w:val="19"/>
              </w:rPr>
              <w:t>5.78</w:t>
            </w:r>
          </w:p>
        </w:tc>
        <w:tc>
          <w:tcPr>
            <w:tcW w:type="dxa" w:w="1247"/>
          </w:tcPr>
          <w:p>
            <w:r/>
            <w:r>
              <w:rPr>
                <w:sz w:val="19"/>
              </w:rPr>
              <w:t>8.45</w:t>
            </w:r>
          </w:p>
        </w:tc>
        <w:tc>
          <w:tcPr>
            <w:tcW w:type="dxa" w:w="1247"/>
          </w:tcPr>
          <w:p>
            <w:r/>
            <w:r>
              <w:rPr>
                <w:sz w:val="19"/>
              </w:rPr>
              <w:t>9.15</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1,105 ohm-m and is interpreted as dry lateritic topsoil / duricrust. Layer 2 from 1.02 m to 8.1 m (7.08 m thick) has a resistivity of about 1,637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62791"/>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62791"/>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1,105</w:t>
              <w:br/>
              <w:t>1,637</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67.6</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68.0</w:t>
            </w:r>
          </w:p>
        </w:tc>
        <w:tc>
          <w:tcPr>
            <w:tcW w:type="dxa" w:w="1361"/>
          </w:tcPr>
          <w:p>
            <w:r/>
            <w:r>
              <w:rPr>
                <w:sz w:val="19"/>
              </w:rPr>
              <w:t>0.42</w:t>
            </w:r>
          </w:p>
        </w:tc>
        <w:tc>
          <w:tcPr>
            <w:tcW w:type="dxa" w:w="1247"/>
          </w:tcPr>
          <w:p>
            <w:r/>
            <w:r>
              <w:rPr>
                <w:sz w:val="19"/>
              </w:rPr>
              <w:t>28.9</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pStyle w:val="Heading3"/>
      </w:pPr>
      <w:r>
        <w:t>Chance of a working borehole</w:t>
      </w:r>
    </w:p>
    <w:p>
      <w:pPr>
        <w:jc w:val="both"/>
      </w:pPr>
      <w:r>
        <w:rPr>
          <w:b w:val="0"/>
          <w:i w:val="0"/>
        </w:rPr>
        <w:t>Beside the suitability score, each point is given the chance that a borehole there yields enough for a handpump through the dry season: a prior for the ground under it, from published yields, multiplied by a factor for each thing the survey found. The table under each point shows how far each factor moved it. Every figure here is provisional. Success means a yield of at least 1 m3/h (0.28 L/s) at the dry-season water level, the handpump design rate in the configuration. Basis: the prior from success_prior.csv and the likelihood ratios from success_evidence.yaml; calibration: the toolkit's provisional default from PLAN.md step 3.3, adopted by no named person and not calibrated against drilled outcomes. The band is the 10th to 90th percentile of a Beta prior with the table's effective sample size, carried through the same factors; the factors themselves are provisional choices. The suitability score is kept beside these odds for comparison.</w:t>
      </w:r>
    </w:p>
    <w:p>
      <w:pPr>
        <w:jc w:val="both"/>
      </w:pPr>
      <w:r>
        <w:rPr>
          <w:b w:val="0"/>
          <w:i w:val="0"/>
        </w:rPr>
        <w:t>Point A (1). About 96 percent (between 88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11. How the survey moved the chance of a working borehole at point A (1).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47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13.3 percent: poor, the survey evidence weighted 0.6</w:t>
            </w:r>
          </w:p>
        </w:tc>
        <w:tc>
          <w:tcPr>
            <w:tcW w:type="dxa" w:w="1474"/>
          </w:tcPr>
          <w:p>
            <w:r/>
            <w:r>
              <w:rPr>
                <w:sz w:val="17"/>
              </w:rPr>
              <w:t>1.14</w:t>
            </w:r>
          </w:p>
        </w:tc>
        <w:tc>
          <w:tcPr>
            <w:tcW w:type="dxa" w:w="1361"/>
          </w:tcPr>
          <w:p>
            <w:r/>
            <w:r>
              <w:rPr>
                <w:sz w:val="17"/>
              </w:rPr>
              <w:t>96</w:t>
            </w:r>
          </w:p>
        </w:tc>
      </w:tr>
    </w:tbl>
    <w:p/>
    <w:p>
      <w:pPr>
        <w:jc w:val="both"/>
      </w:pPr>
      <w:r>
        <w:rPr>
          <w:b w:val="0"/>
          <w:i w:val="0"/>
        </w:rPr>
        <w:t>Point B (2). About 96 percent (between 89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12. How the survey moved the chance of a working borehole at point B (2).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50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26.8 percent: unreliable, the survey evidence weighted 0.3</w:t>
            </w:r>
          </w:p>
        </w:tc>
        <w:tc>
          <w:tcPr>
            <w:tcW w:type="dxa" w:w="1474"/>
          </w:tcPr>
          <w:p>
            <w:r/>
            <w:r>
              <w:rPr>
                <w:sz w:val="17"/>
              </w:rPr>
              <w:t>1.26</w:t>
            </w:r>
          </w:p>
        </w:tc>
        <w:tc>
          <w:tcPr>
            <w:tcW w:type="dxa" w:w="1361"/>
          </w:tcPr>
          <w:p>
            <w:r/>
            <w:r>
              <w:rPr>
                <w:sz w:val="17"/>
              </w:rPr>
              <w:t>96</w:t>
            </w:r>
          </w:p>
        </w:tc>
      </w:tr>
    </w:tbl>
    <w:p/>
    <w:p>
      <w:pPr>
        <w:pStyle w:val="Heading3"/>
      </w:pPr>
      <w:r>
        <w:t>The value of one more measurement</w:t>
      </w:r>
    </w:p>
    <w:p>
      <w:pPr>
        <w:jc w:val="both"/>
      </w:pPr>
      <w:r>
        <w:rPr>
          <w:b w:val="0"/>
          <w:i w:val="0"/>
        </w:rPr>
        <w:t>Before the rig is called, one more sounding beside the first-ranked point, or a profiling line through it, can change where to drill. Each is worth what it is expected to save that decision, over everything it might read: the expected cost of the best choice now, less the expected cost of the best choice once its reading is known. The value of one more measurement is worked out once the cost of a borehole has been estimated, because it depends on what a dry attempt costs.</w:t>
      </w:r>
    </w:p>
    <w:p>
      <w:pPr>
        <w:jc w:val="center"/>
      </w:pPr>
      <w:r>
        <w:drawing>
          <wp:inline xmlns:a="http://schemas.openxmlformats.org/drawingml/2006/main" xmlns:pic="http://schemas.openxmlformats.org/drawingml/2006/picture">
            <wp:extent cx="5400000" cy="4185120"/>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85120"/>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63744"/>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63744"/>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footerReference w:type="first" r:id="rId21"/>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Document GC9B-1H0G-2 -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36000" cy="936000"/>
                  </a:xfrm>
                  <a:prstGeom prst="rect"/>
                </pic:spPr>
              </pic:pic>
            </a:graphicData>
          </a:graphic>
        </wp:inline>
      </w:drawing>
    </w:r>
  </w:p>
  <w:p>
    <w:pPr>
      <w:jc w:val="center"/>
    </w:pPr>
    <w:r>
      <w:rPr>
        <w:b/>
        <w:sz w:val="18"/>
      </w:rPr>
      <w:t>Document code GC9B-1H0G-2</w:t>
    </w:r>
  </w:p>
  <w:p>
    <w:pPr>
      <w:jc w:val="center"/>
    </w:pPr>
    <w:r>
      <w:rPr>
        <w:i/>
        <w:sz w:val="15"/>
      </w:rPr>
      <w:t>This code names the document as it was issued. The Verify a document page of the Groundwater Toolkit, or the command groundwater verify, checks a copy against it and needs no network.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footer" Target="footer2.xml"/><Relationship Id="rIdGroundwaterManifest" Type="http://schemas.openxmlformats.org/officeDocument/2006/relationships/customXml" Target="../customXml/groundwater-manifest.xml"/></Relationships>
</file>

<file path=word/_rels/foot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groundwater-manifest.xml><?xml version="1.0" encoding="utf-8"?>
<manifest xmlns="urn:groundwater-toolkit:manifest" format="1">
  <document kind="geophysical" title="Geophysical Survey Report - Rokel" issued="" code="GC9B-1H0G-2"/>
  <engine name="groundwater-python" version="0.3.0"/>
  <calibration name="the toolkit's provisional default from PLAN.md step 3.3, adopted by no named person and not calibrated against drilled outcomes" sha256="bfcc6c56d1915b8c09b90dfa12a09cb95d3e508b79c3b5e6944c1fce6acc0e0a"/>
  <readiness state="ready">
</readiness>
  <evidence>
    <file what="IPI2Win model sheet" name="rokel_ipi2win_models.xlsx" sha256="dd9900414f7a7efe1d32b686c9ef93bc1c7c7889f3c306588d17bab879e4ed9f"/>
    <file what="VES field sheet" name="rokel_ves.xlsx" sha256="be693b42ac595d7eb78e0f94c69d2ac1a0b598ffab90a673a25976d23e10da32"/>
  </evidence>
  <parts>
    <part name="[Content_Types].xml" sha256="b5e12bdc7aa6c0e913ca35305a16c0a2c2d23cdf1b5c0a2b6e64ce579817701f"/>
    <part name="_rels/.rels" sha256="a9ae57efe9186f07d48303bcac5d54c7e359bf3f503939c03ad2954e5c59a5c4"/>
    <part name="customXml/_rels/item1.xml.rels" sha256="1ca6c9a64edcebe24ee703a54403611b322d96da33371779e742d2d3f7ed7a6c"/>
    <part name="customXml/item1.xml" sha256="a86086ffc5d8e83ebd6c71a55d1d2efaa31b137977f5f3a752366e1023612144"/>
    <part name="customXml/itemProps1.xml" sha256="c542307b13ec29a8b546217bb37936ab4822e044b265d2952985ec3d6afed24e"/>
    <part name="docProps/app.xml" sha256="be664981c3141cddfc59362beb287ebf20d0773660e2dd6faac5968a5930a081"/>
    <part name="docProps/core.xml" sha256="c7d80cb1a82f45329ec22eb45a81deec4f6365928b56a95c6dbb75a131298a8e"/>
    <part name="docProps/thumbnail.jpeg" sha256="96367138dc44ce09bf2c8f0f8e49348a1478d2c5c0af69bbc2bbc38b63cdcead"/>
    <part name="word/_rels/document.xml.rels" sha256="0de5886ed2091b65d0939514fe180d21132be827dc6cbb2668c7827ee16ef8a6"/>
    <part name="word/_rels/footer2.xml.rels" sha256="899cd474f75b6e80b5212bb22ef23790ce06ee3ec851769bcbfc56f9c023a28d"/>
    <part name="word/document.xml" sha256="b36f6010592ca2c2598578d07beaf3751e5aa61c6f5a1d87bf3c240a79eb50f7"/>
    <part name="word/fontTable.xml" sha256="79385fb7f60247507ecaffc292e9ebd52ea0657b8634f629ba6fccc54011d6bb"/>
    <part name="word/media/image1.png" sha256="02e2dbcdccf489d2586f47890f9d5b71c44a202f85f34cec6b18232c43fa1445"/>
    <part name="word/media/image10.png" sha256="117542503a2b1dd30d921b077b857bf8ce56b63b6c2981f2fe86bff731a51864"/>
    <part name="word/media/image11.png" sha256="96cc15736938186266660b8e3326b0fe1080905af05435f460dc53d9def87e55"/>
    <part name="word/media/image2.png" sha256="9c7f99bf96cd0ba9d4412a6a86981d9cc9c8f0fb3eca2b086da5547f2960ca05"/>
    <part name="word/media/image3.png" sha256="2d189f566abf623acb950a447ac2c5c700b69773096623e05821fca195fb7a58"/>
    <part name="word/media/image4.png" sha256="6182f1bff92f35e4cee85926d83b222179e32e2a1f94a2f3cb6bd1535737ff5e"/>
    <part name="word/media/image5.png" sha256="fea815acb3d83f4bed819930c27cd39d78be2a1b2e80e93d7dab032f4cc27150"/>
    <part name="word/media/image6.png" sha256="54873bf4be99e7b0f8f2d4cb6d789f0d7c38c81a1e95e24570e6dc4e283eb31f"/>
    <part name="word/media/image7.png" sha256="7032167c106dc7f18513d8e4251afce4aa0826faafba423affc6d1b210117ee2"/>
    <part name="word/media/image8.png" sha256="e2149aeeb020587d86dc944bdf3fc00d0a41f4178313d4fa6380f89b8051101d"/>
    <part name="word/media/image9.png" sha256="468c75589ce0477ae5b330e8e66bfe56f0524eaf6305ebcae0d43cf2e8709ebc"/>
    <part name="word/numbering.xml" sha256="70976f19cbcd896e51890859fe6ecb3467a5a7ad0c040160fedc5a1993cb09ce"/>
    <part name="word/settings.xml" sha256="33664ed5a3e12a24b9936e7efe376f26e9243c02de33a1f343de92f62f9b969c"/>
    <part name="word/styles.xml" sha256="0c50f7c7a0a1a50339b87cda05e9d391ee9b64792efa029726495ba4ef4e8123"/>
    <part name="word/stylesWithEffects.xml" sha256="463ae0928cf0d84775dbf8cf18d6c3029f6707c81bf590f6d6dd8757a5e93f15"/>
    <part name="word/theme/theme1.xml" sha256="e3a8ab7db9ca7afca56f5f2820a56e8b660016c647773555b060b0a02ac76941"/>
    <part name="word/webSettings.xml" sha256="349d36de7434d09f86987ff671d8814964a0588c1e630c06e562cda7e75e9f95"/>
  </parts>
  <carriers>
    <part name="word/footer1.xml" sha256="730d6a6f89232e7c5b45d51d0cc299e50bf3f6f22e044f24f2588667620b566a"/>
    <part name="word/footer2.xml" sha256="9bb890de5ee65abfcac014c00027d6f17198687bb029b8ab7589074fadeaf6be"/>
    <part name="word/media/image12.png" sha256="1c00ecba59d28d5ee123b948500dd43e94fd981cbb8ee226be738a284b11e927"/>
  </carriers>
</manifest>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