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28"/>
        </w:rPr>
        <w:t xml:space="preserve">Pumping test field sheet: borehole KTL-01</w:t>
      </w:r>
    </w:p>
    <w:p>
      <w:pPr>
        <w:jc w:val="center"/>
      </w:pPr>
      <w:r>
        <w:drawing>
          <wp:inline distT="0" distB="0" distL="0" distR="0">
            <wp:extent cx="1440000" cy="1440000"/>
            <wp:docPr id="1" name="Figure 1" descr="Sheet code GWT-FK/1|pumping|Rokel 2026|KTL-01. Scan it, or type it in, to match this sheet to its project and borehole."/>
            <a:graphic>
              <a:graphicData uri="http://schemas.openxmlformats.org/drawingml/2006/picture">
                <pic:pic>
                  <pic:nvPicPr>
                    <pic:cNvPr id="1" name="Fig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1. Sheet code GWT-FK/1|pumping|Rokel 2026|KTL-01. Scan it, or type it in, to match this sheet to its project and borehole.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1"/>
        <w:gridCol w:w="2495"/>
        <w:gridCol w:w="2041"/>
        <w:gridCol w:w="2495"/>
      </w:tblGrid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Community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Kuntolo</w:t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Date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Client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Living Water International</w:t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Length of each step (min)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Test conducted by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WiNGiN</w:t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Start time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Borehole Ref. No.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KTL-01</w:t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Depth of Borehole (m)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Static water level (m)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Pump setting (m)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Test type (step or constant)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constant</w:t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District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Port Loko</w:t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GPS Coordinate East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GPS Coordinate North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UTM Zone (28N or 29N)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Elevation (m)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</w:tbl>
    <w:p/>
    <w:p>
      <w:r>
        <w:t xml:space="preserve">Casing storage: if the transmissivity is as low as 1 m2/day, the water levels of the first 307 minutes may show the 5 inch casing, with its 1.25 inch riser, emptying rather than the aquifer (31 minutes at 10 m2/day).</w:t>
      </w:r>
    </w:p>
    <w:p>
      <w:r>
        <w:t xml:space="preserve">Constant discharge test: do not stop the pump before 307 minutes, the longer of that time and the shortest constant test the analysis accepts, 240 minutes.</w:t>
      </w:r>
    </w:p>
    <w:p>
      <w:r>
        <w:t xml:space="preserve">Step test: run every step for at least 60 minutes, and the first for at least 307 minutes, since the drawdown is fitted on the first step.</w:t>
      </w:r>
    </w:p>
    <w:p>
      <w:r>
        <w:t xml:space="preserve">A shorter test is safe only once the measured drawdown shows a shorter casing-storage time. The pumping test co-pilot or the office works that out from the discharge and the drawdown.</w:t>
      </w:r>
    </w:p>
    <w:p>
      <w:r>
        <w:t xml:space="preserve">Read the water level at each minute in the Time column, counted from the moment the pump starts. After 120 minutes, read every 30 minutes.</w:t>
      </w:r>
    </w:p>
    <w:p>
      <w:r>
        <w:t xml:space="preserve">When the pump stops, start the clock again from zero and read the recovery at the same minutes.</w:t>
      </w:r>
    </w:p>
    <w:p>
      <w:r>
        <w:t xml:space="preserve">Record the discharge of every step. Time a bucket of known volume three times; the rate in m3/h is 3.6 times the litres divided by the mean seconds. A step with no discharge is written as Not measured, with the reason.</w:t>
      </w:r>
    </w:p>
    <w:p>
      <w:pPr>
        <w:keepNext/>
      </w:pPr>
      <w:r>
        <w:rPr>
          <w:b/>
          <w:sz w:val="18"/>
        </w:rPr>
        <w:t xml:space="preserve">Table 1. Discharge per step (m3/h)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00"/>
        <w:gridCol w:w="4000"/>
        <w:gridCol w:w="4000"/>
        <w:gridCol w:w="4000"/>
      </w:tblGrid>
      <w:tr>
        <w:trPr>
          <w:tblHeader/>
        </w:trPr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Step 1 Q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Step 2 Q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Step 3 Q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Step 4 Q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pPr>
        <w:keepNext/>
      </w:pPr>
      <w:r>
        <w:rPr>
          <w:b/>
          <w:sz w:val="18"/>
        </w:rPr>
        <w:t xml:space="preserve">Table 2. Bucket timings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7"/>
        <w:gridCol w:w="2667"/>
        <w:gridCol w:w="2667"/>
        <w:gridCol w:w="2667"/>
        <w:gridCol w:w="2667"/>
        <w:gridCol w:w="2667"/>
      </w:tblGrid>
      <w:tr>
        <w:trPr>
          <w:tblHeader/>
        </w:trPr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Step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Bucket (L)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Timing 1 (s)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Timing 2 (s)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Timing 3 (s)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Q (m3/h)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Step 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Step 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Step 3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Step 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r>
        <w:rPr>
          <w:i/>
        </w:rPr>
        <w:t xml:space="preserve">The tables below have the columns of the standard pumping test workbook, so a filled sheet is typed into it cell for cell.</w:t>
      </w:r>
    </w:p>
    <w:p>
      <w:pPr>
        <w:keepNext/>
      </w:pPr>
      <w:r>
        <w:rPr>
          <w:b/>
          <w:sz w:val="18"/>
        </w:rPr>
        <w:t xml:space="preserve">Table 3. Constant discharge 0-60 min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552"/>
        <w:gridCol w:w="2552"/>
      </w:tblGrid>
      <w:tr>
        <w:trPr>
          <w:tblHeader/>
        </w:trPr>
        <w:tc>
          <w:tcPr>
            <w:tcW w:w="1701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Time (min)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Level (m)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Drawdown (m)</w:t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0.5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1.5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50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60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pPr>
        <w:keepNext/>
      </w:pPr>
      <w:r>
        <w:rPr>
          <w:b/>
          <w:sz w:val="18"/>
        </w:rPr>
        <w:t xml:space="preserve">Table 4. Constant discharge 61-120 min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552"/>
        <w:gridCol w:w="2552"/>
      </w:tblGrid>
      <w:tr>
        <w:trPr>
          <w:tblHeader/>
        </w:trPr>
        <w:tc>
          <w:tcPr>
            <w:tcW w:w="1701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Time (min)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Level (m)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Drawdown (m)</w:t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75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90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120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pPr>
        <w:keepNext/>
      </w:pPr>
      <w:r>
        <w:rPr>
          <w:b/>
          <w:sz w:val="18"/>
        </w:rPr>
        <w:t xml:space="preserve">Table 5. Constant discharge 121-180 min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552"/>
        <w:gridCol w:w="2552"/>
      </w:tblGrid>
      <w:tr>
        <w:trPr>
          <w:tblHeader/>
        </w:trPr>
        <w:tc>
          <w:tcPr>
            <w:tcW w:w="1701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Time (min)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Level (m)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Drawdown (m)</w:t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150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180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pPr>
        <w:keepNext/>
      </w:pPr>
      <w:r>
        <w:rPr>
          <w:b/>
          <w:sz w:val="18"/>
        </w:rPr>
        <w:t xml:space="preserve">Table 6. Constant discharge 181-330 min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552"/>
        <w:gridCol w:w="2552"/>
      </w:tblGrid>
      <w:tr>
        <w:trPr>
          <w:tblHeader/>
        </w:trPr>
        <w:tc>
          <w:tcPr>
            <w:tcW w:w="1701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Time (min)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Level (m)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Drawdown (m)</w:t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210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240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270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300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330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pPr>
        <w:keepNext/>
      </w:pPr>
      <w:r>
        <w:rPr>
          <w:b/>
          <w:sz w:val="18"/>
        </w:rPr>
        <w:t xml:space="preserve">Table 7. Recovery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552"/>
        <w:gridCol w:w="2552"/>
      </w:tblGrid>
      <w:tr>
        <w:trPr>
          <w:tblHeader/>
        </w:trPr>
        <w:tc>
          <w:tcPr>
            <w:tcW w:w="1701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Time (min)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Level (m)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Recovery (m)</w:t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0.5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1.5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50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60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75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90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120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150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180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210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240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270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300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330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 xml:space="preserve">Pumping test field sheet: borehole KTL|02 %x</w:t>
      </w:r>
    </w:p>
    <w:p>
      <w:pPr>
        <w:jc w:val="center"/>
      </w:pPr>
      <w:r>
        <w:drawing>
          <wp:inline distT="0" distB="0" distL="0" distR="0">
            <wp:extent cx="1440000" cy="1440000"/>
            <wp:docPr id="2" name="Figure 2" descr="Sheet code GWT-FK/1|pumping|Rokel 2026|KTL%7C02 %25x. Scan it, or type it in, to match this sheet to its project and borehole."/>
            <a:graphic>
              <a:graphicData uri="http://schemas.openxmlformats.org/drawingml/2006/picture">
                <pic:pic>
                  <pic:nvPicPr>
                    <pic:cNvPr id="2" name="Fig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 xml:space="preserve">Figure 2. Sheet code GWT-FK/1|pumping|Rokel 2026|KTL%7C02 %25x. Scan it, or type it in, to match this sheet to its project and borehole.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1"/>
        <w:gridCol w:w="2495"/>
        <w:gridCol w:w="2041"/>
        <w:gridCol w:w="2495"/>
      </w:tblGrid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Community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Kuntolo</w:t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Date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Client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Living Water International</w:t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Length of each step (min)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Test conducted by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WiNGiN</w:t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Start time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Borehole Ref. No.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KTL|02 %x</w:t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Depth of Borehole (m)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Static water level (m)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Pump setting (m)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Test type (step or constant)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constant</w:t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District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>Port Loko</w:t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GPS Coordinate East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GPS Coordinate North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  <w:tr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UTM Zone (28N or 29N)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  <w:tc>
          <w:tcPr>
            <w:tcW w:w="2041" w:type="dxa"/>
          </w:tcPr>
          <w:p>
            <w:pPr>
              <w:spacing w:after="20"/>
            </w:pPr>
            <w:r>
              <w:rPr>
                <w:sz w:val="19"/>
              </w:rPr>
              <w:t xml:space="preserve">Elevation (m)</w:t>
            </w:r>
          </w:p>
        </w:tc>
        <w:tc>
          <w:tcPr>
            <w:tcW w:w="2495" w:type="dxa"/>
          </w:tcPr>
          <w:p>
            <w:pPr>
              <w:spacing w:after="20"/>
            </w:pPr>
            <w:r>
              <w:rPr>
                <w:sz w:val="19"/>
              </w:rPr>
              <w:t xml:space="preserve"/>
            </w:r>
          </w:p>
        </w:tc>
      </w:tr>
    </w:tbl>
    <w:p/>
    <w:p>
      <w:r>
        <w:t xml:space="preserve">Casing storage: if the transmissivity is as low as 1 m2/day, the water levels of the first 307 minutes may show the 5 inch casing, with its 1.25 inch riser, emptying rather than the aquifer (31 minutes at 10 m2/day).</w:t>
      </w:r>
    </w:p>
    <w:p>
      <w:r>
        <w:t xml:space="preserve">Constant discharge test: do not stop the pump before 307 minutes, the longer of that time and the shortest constant test the analysis accepts, 240 minutes.</w:t>
      </w:r>
    </w:p>
    <w:p>
      <w:r>
        <w:t xml:space="preserve">Step test: run every step for at least 60 minutes, and the first for at least 307 minutes, since the drawdown is fitted on the first step.</w:t>
      </w:r>
    </w:p>
    <w:p>
      <w:r>
        <w:t xml:space="preserve">A shorter test is safe only once the measured drawdown shows a shorter casing-storage time. The pumping test co-pilot or the office works that out from the discharge and the drawdown.</w:t>
      </w:r>
    </w:p>
    <w:p>
      <w:r>
        <w:t xml:space="preserve">Read the water level at each minute in the Time column, counted from the moment the pump starts. After 120 minutes, read every 30 minutes.</w:t>
      </w:r>
    </w:p>
    <w:p>
      <w:r>
        <w:t xml:space="preserve">When the pump stops, start the clock again from zero and read the recovery at the same minutes.</w:t>
      </w:r>
    </w:p>
    <w:p>
      <w:r>
        <w:t xml:space="preserve">Record the discharge of every step. Time a bucket of known volume three times; the rate in m3/h is 3.6 times the litres divided by the mean seconds. A step with no discharge is written as Not measured, with the reason.</w:t>
      </w:r>
    </w:p>
    <w:p>
      <w:pPr>
        <w:keepNext/>
      </w:pPr>
      <w:r>
        <w:rPr>
          <w:b/>
          <w:sz w:val="18"/>
        </w:rPr>
        <w:t xml:space="preserve">Table 8. Discharge per step (m3/h)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00"/>
        <w:gridCol w:w="4000"/>
        <w:gridCol w:w="4000"/>
        <w:gridCol w:w="4000"/>
      </w:tblGrid>
      <w:tr>
        <w:trPr>
          <w:tblHeader/>
        </w:trPr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Step 1 Q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Step 2 Q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Step 3 Q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Step 4 Q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pPr>
        <w:keepNext/>
      </w:pPr>
      <w:r>
        <w:rPr>
          <w:b/>
          <w:sz w:val="18"/>
        </w:rPr>
        <w:t xml:space="preserve">Table 9. Bucket timings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7"/>
        <w:gridCol w:w="2667"/>
        <w:gridCol w:w="2667"/>
        <w:gridCol w:w="2667"/>
        <w:gridCol w:w="2667"/>
        <w:gridCol w:w="2667"/>
      </w:tblGrid>
      <w:tr>
        <w:trPr>
          <w:tblHeader/>
        </w:trPr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Step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Bucket (L)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Timing 1 (s)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Timing 2 (s)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Timing 3 (s)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Q (m3/h)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Step 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Step 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Step 3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Step 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r>
        <w:rPr>
          <w:i/>
        </w:rPr>
        <w:t xml:space="preserve">The tables below have the columns of the standard pumping test workbook, so a filled sheet is typed into it cell for cell.</w:t>
      </w:r>
    </w:p>
    <w:p>
      <w:pPr>
        <w:keepNext/>
      </w:pPr>
      <w:r>
        <w:rPr>
          <w:b/>
          <w:sz w:val="18"/>
        </w:rPr>
        <w:t xml:space="preserve">Table 10. Constant discharge 0-60 min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552"/>
        <w:gridCol w:w="2552"/>
      </w:tblGrid>
      <w:tr>
        <w:trPr>
          <w:tblHeader/>
        </w:trPr>
        <w:tc>
          <w:tcPr>
            <w:tcW w:w="1701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Time (min)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Level (m)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Drawdown (m)</w:t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0.5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1.5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50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60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pPr>
        <w:keepNext/>
      </w:pPr>
      <w:r>
        <w:rPr>
          <w:b/>
          <w:sz w:val="18"/>
        </w:rPr>
        <w:t xml:space="preserve">Table 11. Constant discharge 61-120 min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552"/>
        <w:gridCol w:w="2552"/>
      </w:tblGrid>
      <w:tr>
        <w:trPr>
          <w:tblHeader/>
        </w:trPr>
        <w:tc>
          <w:tcPr>
            <w:tcW w:w="1701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Time (min)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Level (m)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Drawdown (m)</w:t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75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90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120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pPr>
        <w:keepNext/>
      </w:pPr>
      <w:r>
        <w:rPr>
          <w:b/>
          <w:sz w:val="18"/>
        </w:rPr>
        <w:t xml:space="preserve">Table 12. Constant discharge 121-180 min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552"/>
        <w:gridCol w:w="2552"/>
      </w:tblGrid>
      <w:tr>
        <w:trPr>
          <w:tblHeader/>
        </w:trPr>
        <w:tc>
          <w:tcPr>
            <w:tcW w:w="1701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Time (min)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Level (m)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Drawdown (m)</w:t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150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180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pPr>
        <w:keepNext/>
      </w:pPr>
      <w:r>
        <w:rPr>
          <w:b/>
          <w:sz w:val="18"/>
        </w:rPr>
        <w:t xml:space="preserve">Table 13. Constant discharge 181-330 min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552"/>
        <w:gridCol w:w="2552"/>
      </w:tblGrid>
      <w:tr>
        <w:trPr>
          <w:tblHeader/>
        </w:trPr>
        <w:tc>
          <w:tcPr>
            <w:tcW w:w="1701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Time (min)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Level (m)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Drawdown (m)</w:t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210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240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270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300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330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pPr>
        <w:keepNext/>
      </w:pPr>
      <w:r>
        <w:rPr>
          <w:b/>
          <w:sz w:val="18"/>
        </w:rPr>
        <w:t xml:space="preserve">Table 14. Recovery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2552"/>
        <w:gridCol w:w="2552"/>
      </w:tblGrid>
      <w:tr>
        <w:trPr>
          <w:tblHeader/>
        </w:trPr>
        <w:tc>
          <w:tcPr>
            <w:tcW w:w="1701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Time (min)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Level (m)</w:t>
            </w:r>
          </w:p>
        </w:tc>
        <w:tc>
          <w:tcPr>
            <w:tcW w:w="2552" w:type="dxa"/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Recovery (m)</w:t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0.5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1.5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12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50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60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75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90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120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150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180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210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240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270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300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701" w:type="dxa"/>
          </w:tcPr>
          <w:p>
            <w:pPr>
              <w:spacing w:after="20"/>
            </w:pPr>
            <w:r>
              <w:rPr>
                <w:sz w:val="20"/>
              </w:rPr>
              <w:t xml:space="preserve">330</w:t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  <w:tc>
          <w:tcPr>
            <w:tcW w:w="2552" w:type="dxa"/>
          </w:tcPr>
          <w:p>
            <w:pPr>
              <w:spacing w:after="20"/>
            </w:pPr>
            <w:r>
              <w:rPr>
                <w:sz w:val="20"/>
              </w:rPr>
              <w:t xml:space="preserve"/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 xml:space="preserve">Quick card: pumping test reading schedule</w:t>
      </w:r>
    </w:p>
    <w:p>
      <w:r>
        <w:t xml:space="preserve">Read the water level at these minutes after the pump starts, then every 30 minutes.</w:t>
      </w:r>
    </w:p>
    <w:p>
      <w:r>
        <w:t xml:space="preserve">When the pump stops, start the clock again from zero and read the recovery at the same minutes.</w:t>
      </w:r>
    </w:p>
    <w:p>
      <w:pPr>
        <w:keepNext/>
      </w:pPr>
      <w:r>
        <w:rPr>
          <w:b/>
          <w:sz w:val="18"/>
        </w:rPr>
        <w:t xml:space="preserve">Table 15. Reading minutes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86"/>
        <w:gridCol w:w="2286"/>
        <w:gridCol w:w="2286"/>
        <w:gridCol w:w="2286"/>
        <w:gridCol w:w="2286"/>
        <w:gridCol w:w="2286"/>
        <w:gridCol w:w="2286"/>
      </w:tblGrid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0.5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1.5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30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60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75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90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120</w:t>
            </w:r>
          </w:p>
        </w:tc>
      </w:tr>
    </w:tbl>
    <w:p/>
    <w:p>
      <w:r>
        <w:t xml:space="preserve">Casing storage: if the transmissivity is as low as 1 m2/day, the water levels of the first 307 minutes may show the 5 inch casing, with its 1.25 inch riser, emptying rather than the aquifer (31 minutes at 10 m2/day).</w:t>
      </w:r>
    </w:p>
    <w:p>
      <w:r>
        <w:t xml:space="preserve">Constant discharge test: do not stop the pump before 307 minutes, the longer of that time and the shortest constant test the analysis accepts, 240 minutes.</w:t>
      </w:r>
    </w:p>
    <w:p>
      <w:r>
        <w:t xml:space="preserve">Step test: run every step for at least 60 minutes, and the first for at least 307 minutes, since the drawdown is fitted on the first step.</w:t>
      </w:r>
    </w:p>
    <w:p>
      <w:r>
        <w:t xml:space="preserve">A shorter test is safe only once the measured drawdown shows a shorter casing-storage time. The pumping test co-pilot or the office works that out from the discharge and the drawdown.</w:t>
      </w:r>
    </w:p>
    <w:p>
      <w:r>
        <w:br w:type="page"/>
      </w:r>
    </w:p>
    <w:p>
      <w:r>
        <w:rPr>
          <w:b/>
          <w:sz w:val="28"/>
        </w:rPr>
        <w:t xml:space="preserve">Quick card: VES Schlumberger spacings</w:t>
      </w:r>
    </w:p>
    <w:p>
      <w:r>
        <w:t xml:space="preserve">A sounding reaches a depth of about 0.5 times its largest AB/2. Peg down the table until the depth reached is at least the target depth, and stop there.</w:t>
      </w:r>
    </w:p>
    <w:p>
      <w:r>
        <w:t xml:space="preserve">AB is always at least 5 times MN, and MN is widened before AB passes 20 times it. Where MN changes, read the same AB/2 again with the new MN, and keep both readings.</w:t>
      </w:r>
    </w:p>
    <w:p>
      <w:pPr>
        <w:keepNext/>
      </w:pPr>
      <w:r>
        <w:rPr>
          <w:b/>
          <w:sz w:val="18"/>
        </w:rPr>
        <w:t xml:space="preserve">Table 16. Schlumberger spacings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00"/>
        <w:gridCol w:w="4000"/>
        <w:gridCol w:w="4000"/>
        <w:gridCol w:w="4000"/>
      </w:tblGrid>
      <w:tr>
        <w:trPr>
          <w:tblHeader/>
        </w:trPr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No.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AB/2 (m)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MN (m)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Depth reached (m)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0.4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0.5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1.5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0.4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0.75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0.4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0.4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1.5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0.4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7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2.5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9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6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13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7.5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16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12.5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17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18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19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60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80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23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60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150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75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26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27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28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250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125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29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300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150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30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400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31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400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200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32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500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250</w:t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 xml:space="preserve">Quick card: disinfecting the borehole with chlorine</w:t>
      </w:r>
    </w:p>
    <w:p>
      <w:r>
        <w:t xml:space="preserve">Shock dose of 20 mg of chlorine per litre: add 1 litre of 0.2 percent chlorine solution for every 100 litres of water standing in the well, and do not pump for at least 4 hours.</w:t>
      </w:r>
    </w:p>
    <w:p>
      <w:r>
        <w:t xml:space="preserve">A 0.2 percent solution holds 2 g of chlorine per litre: dissolve about 3.1 g of 65 percent HTH powder in each litre of water.</w:t>
      </w:r>
    </w:p>
    <w:p>
      <w:r>
        <w:t xml:space="preserve">Water in the well, in litres, is 0.785 times the square of the casing inner diameter in mm, times the water column in m, divided by 1,000.</w:t>
      </w:r>
    </w:p>
    <w:p>
      <w:pPr>
        <w:keepNext/>
      </w:pPr>
      <w:r>
        <w:rPr>
          <w:b/>
          <w:sz w:val="18"/>
        </w:rPr>
        <w:t xml:space="preserve">Table 17. Litres of 0.2 percent solution (L) and grams of 65 percent HTH (g), by water column and casing inner diameter.</w:t>
      </w:r>
    </w:p>
    <w:tbl>
      <w:tblPr>
        <w:tblStyle w:val="TableGrid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86"/>
        <w:gridCol w:w="2286"/>
        <w:gridCol w:w="2286"/>
        <w:gridCol w:w="2286"/>
        <w:gridCol w:w="2286"/>
        <w:gridCol w:w="2286"/>
        <w:gridCol w:w="2286"/>
      </w:tblGrid>
      <w:tr>
        <w:trPr>
          <w:tblHeader/>
        </w:trPr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Water column (m)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100 mm: L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100 mm: g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125 mm: L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125 mm: g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150 mm: L</w:t>
            </w:r>
          </w:p>
        </w:tc>
        <w:tc>
          <w:tcPr>
            <w:shd w:val="clear" w:color="auto" w:fill="1F5C8B"/>
          </w:tcPr>
          <w:p>
            <w:pPr>
              <w:spacing w:after="20"/>
            </w:pPr>
            <w:r>
              <w:rPr>
                <w:b/>
                <w:sz w:val="20"/>
                <w:color w:val="FFFFFF"/>
              </w:rPr>
              <w:t xml:space="preserve">150 mm: g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0.8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1.2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1.8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20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1.6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2.5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3.5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11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30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2.4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7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3.7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5.3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16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40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3.1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4.9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15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7.1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22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50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3.9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12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6.1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19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8.8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27</w:t>
            </w:r>
          </w:p>
        </w:tc>
      </w:tr>
      <w:tr>
        <w:tc>
          <w:tcPr/>
          <w:p>
            <w:pPr>
              <w:spacing w:after="20"/>
            </w:pPr>
            <w:r>
              <w:rPr>
                <w:sz w:val="20"/>
              </w:rPr>
              <w:t xml:space="preserve">60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4.7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7.4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23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10.6</w:t>
            </w:r>
          </w:p>
        </w:tc>
        <w:tc>
          <w:tcPr/>
          <w:p>
            <w:pPr>
              <w:spacing w:after="20"/>
            </w:pPr>
            <w:r>
              <w:rPr>
                <w:sz w:val="20"/>
              </w:rPr>
              <w:t xml:space="preserve">33</w:t>
            </w:r>
          </w:p>
        </w:tc>
      </w:tr>
    </w:tbl>
    <w:p/>
    <w:p>
      <w:r>
        <w:rPr>
          <w:i/>
        </w:rPr>
        <w:t xml:space="preserve">Basis: the toolkit's supervision checklist (borehole disinfected with chlorine at 20 mg per litre, after Adekile, 2014) and its dose calculator, which follows WHO. Where the programme's own disinfection procedure sets a different dose, it takes precedence.</w:t>
      </w:r>
    </w:p>
    <w:p>
      <w:pPr>
        <w:pStyle w:val="Heading1"/>
        <w:keepNext/>
      </w:pPr>
      <w:r>
        <w:t xml:space="preserve">References</w:t>
      </w:r>
    </w:p>
    <w:p>
      <w:pPr>
        <w:ind w:left="454" w:hanging="454"/>
        <w:spacing w:after="80"/>
      </w:pPr>
      <w:r>
        <w:t xml:space="preserve">Adekile, D. (2014). Supervising Water Well Drilling: a Guide for Supervisors. RWSN/Skat, St Gallen.</w:t>
      </w:r>
    </w:p>
    <w:p>
      <w:pPr>
        <w:ind w:left="454" w:hanging="454"/>
        <w:spacing w:after="80"/>
      </w:pPr>
      <w:r>
        <w:t xml:space="preserve">World Health Organization (2022). Guidelines for Drinking-water Quality, 4th edition incorporating the first and second addenda. Geneva: World Health Organization.</w:t>
      </w:r>
    </w:p>
    <w:sectPr>
      <w:footerReference w:type="default" r:id="rIdFooter"/>
      <w:pgSz w:w="11906" w:h="16838"/>
      <w:pgMar w:top="1418" w:right="1418" w:bottom="1418" w:left="1418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sz w:val="18"/>
      </w:rPr>
      <w:t xml:space="preserve">Document D96N-YK7S-5 -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120"/>
    </w:pPr>
    <w:rPr>
      <w:rFonts w:ascii="Calibri" w:hAnsi="Calibri"/>
      <w:b/>
      <w:color w:val="1F5C8B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160" w:after="120"/>
    </w:pPr>
    <w:rPr>
      <w:rFonts w:ascii="Calibri" w:hAnsi="Calibri"/>
      <w:b/>
      <w:color w:val="1F5C8B"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160" w:after="120"/>
    </w:pPr>
    <w:rPr>
      <w:rFonts w:ascii="Calibri" w:hAnsi="Calibri"/>
      <w:b/>
      <w:color w:val="1F5C8B"/>
      <w:sz w:val="22"/>
    </w:rPr>
  </w:style>
  <w:style w:type="paragraph" w:styleId="ListBullet">
    <w:name w:val="List Bullet"/>
    <w:basedOn w:val="Normal"/>
    <w:pPr>
      <w:numPr>
        <w:ilvl w:val="0"/>
        <w:numId w:val="1"/>
      </w:numPr>
      <w:spacing w:after="60"/>
      <w:ind w:left="720" w:hanging="360"/>
    </w:pPr>
  </w:style>
  <w:style w:type="table" w:styleId="TableGrid">
    <w:name w:val="Table Grid"/>
    <w:tblPr>
      <w:tblCellMar>
        <w:top w:w="60" w:type="dxa"/>
        <w:left w:w="90" w:type="dxa"/>
        <w:bottom w:w="60" w:type="dxa"/>
        <w:right w:w="9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GroundwaterManifest" Type="http://schemas.openxmlformats.org/officeDocument/2006/relationships/customXml" Target="../customXml/groundwater-manifest.xml"/></Relationships>
</file>

<file path=customXml/groundwater-manifest.xml><?xml version="1.0" encoding="utf-8"?>
<manifest xmlns="urn:groundwater-toolkit:manifest" format="1">
  <document kind="field_kit" title="Field kit: Rokel 2026" issued="2026-10-29" code="D96N-YK7S-5"/>
  <engine name="gwt-core" version="0.3.0"/>
  <calibration name="the toolkit's provisional default from PLAN.md step 3.3, adopted by no named person and not calibrated against drilled outcomes" sha256="8e8a1a20b2e9126cc9f7e17533a42ae08cde10e2bc22cdbcc08ffd2de3ba53a6"/>
  <readiness state="not_assessed">
</readiness>
  <evidence>
</evidence>
  <parts>
    <part name="[Content_Types].xml" sha256="c3ca3d894fec78937506cde45a42af7fc3e479bca9be7b6bfce2abe5d7afb92e"/>
    <part name="_rels/.rels" sha256="3f618fc2265b18fcbb747d120da306b261d3f8cc01675755b0b41d35b429e9d2"/>
    <part name="docProps/app.xml" sha256="91a67e35df0c0e2ff02fd54ef27c96f43176b5ffcf2848f6a3d013b9524949ac"/>
    <part name="docProps/core.xml" sha256="bd3d0e66a9b145f42c444010d5e4e1f322652d798d5926e371b4bb8c13f03d05"/>
    <part name="word/_rels/document.xml.rels" sha256="ef1db847d1c7165f3f2d8d7a4c96ced1ecf73cb542df2a8fb554fdb73a080ea5"/>
    <part name="word/document.xml" sha256="77724601949f8eb5e396f1012c6995db51283f958f6ab93afc7dade60d1216d0"/>
    <part name="word/media/image1.png" sha256="942706fd74a72fb64de4c972681164a9167597884a74cc23006c539e632ee9e6"/>
    <part name="word/media/image2.png" sha256="744085499386c8f56bee0871931b5eac6a56e0ecd3e301d1d90c4c40c7085a8c"/>
    <part name="word/numbering.xml" sha256="fb88173e9638aa5bc68aa2db2515973205fb1308f8083014c2b3835855ba3f45"/>
    <part name="word/styles.xml" sha256="5ba4579661ad04d5e8b001133d3766064ac8a3416c6f305bc173514354f06ac2"/>
  </parts>
  <carriers>
    <part name="word/footer1.xml" sha256="b37dba6a3d86f57c010552441cb34472fa75578e6167f208e53cdd8b25481fc6"/>
  </carriers>
</manifest>
</file>

<file path=docProps/app.xml><?xml version="1.0" encoding="utf-8"?>
<Properties xmlns="http://schemas.openxmlformats.org/officeDocument/2006/extended-properties" xmlns:vt="http://schemas.openxmlformats.org/officeDocument/2006/docPropsVTypes">
  <Application>Groundwater Toolkit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Field kit: Rokel 2026</dc:title>
  <dc:creator>Groundwater Toolkit</dc:creator>
  <cp:lastModifiedBy>Groundwater Toolkit</cp:lastModifiedBy>
</cp:coreProperties>
</file>