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value(s) for Manganese, Total coliforms, so treatment or an alternative source is required before it is used for drinking.</w:t>
      </w:r>
    </w:p>
    <w:p>
      <w:r>
        <w:rPr>
          <w:b/>
          <w:i w:val="0"/>
        </w:rPr>
        <w:t>Key findings:</w:t>
      </w:r>
    </w:p>
    <w:p>
      <w:pPr>
        <w:pStyle w:val="ListBullet"/>
      </w:pPr>
      <w:r>
        <w:t>Health based exceedance(s): Manganese,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627023"/>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040000" cy="4627023"/>
                    </a:xfrm>
                    <a:prstGeom prst="rect"/>
                  </pic:spPr>
                </pic:pic>
              </a:graphicData>
            </a:graphic>
          </wp:inline>
        </w:drawing>
      </w:r>
    </w:p>
    <w:p>
      <w:pPr>
        <w:jc w:val="center"/>
      </w:pPr>
      <w:r>
        <w:rPr>
          <w:b/>
          <w:sz w:val="18"/>
        </w:rPr>
        <w:t>Figure 1.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t>5</w:t>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t>500</w:t>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HEALTH GUIDELINE</w:t>
            </w:r>
          </w:p>
        </w:tc>
      </w:tr>
    </w:tbl>
    <w:p/>
    <w:p>
      <w:pPr>
        <w:jc w:val="both"/>
      </w:pPr>
      <w:r>
        <w:rPr>
          <w:b/>
          <w:i w:val="0"/>
        </w:rPr>
        <w:t>The water does not meet the health based guideline value(s) for: Manganese, Total coliforms.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and it can be aggressive even though the pH is within the acceptability range, which is typical of soft basement groundwater.</w:t>
      </w:r>
    </w:p>
    <w:p>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Heading1"/>
      </w:pPr>
      <w:r>
        <w:t>5. Hydrochemical Facies</w:t>
      </w:r>
    </w:p>
    <w:p>
      <w:pPr>
        <w:jc w:val="center"/>
      </w:pPr>
      <w:r>
        <w:drawing>
          <wp:inline xmlns:a="http://schemas.openxmlformats.org/drawingml/2006/main" xmlns:pic="http://schemas.openxmlformats.org/drawingml/2006/picture">
            <wp:extent cx="4680000" cy="4270289"/>
            <wp:docPr id="2" name="Picture 2"/>
            <wp:cNvGraphicFramePr>
              <a:graphicFrameLocks noChangeAspect="1"/>
            </wp:cNvGraphicFramePr>
            <a:graphic>
              <a:graphicData uri="http://schemas.openxmlformats.org/drawingml/2006/picture">
                <pic:pic>
                  <pic:nvPicPr>
                    <pic:cNvPr id="0" name="piper_BH-1.png"/>
                    <pic:cNvPicPr/>
                  </pic:nvPicPr>
                  <pic:blipFill>
                    <a:blip r:embed="rId11"/>
                    <a:stretch>
                      <a:fillRect/>
                    </a:stretch>
                  </pic:blipFill>
                  <pic:spPr>
                    <a:xfrm>
                      <a:off x="0" y="0"/>
                      <a:ext cx="4680000" cy="4270289"/>
                    </a:xfrm>
                    <a:prstGeom prst="rect"/>
                  </pic:spPr>
                </pic:pic>
              </a:graphicData>
            </a:graphic>
          </wp:inline>
        </w:drawing>
      </w:r>
    </w:p>
    <w:p>
      <w:pPr>
        <w:jc w:val="center"/>
      </w:pPr>
      <w:r>
        <w:rPr>
          <w:b/>
          <w:sz w:val="18"/>
        </w:rPr>
        <w:t>Figure 2. Piper diagram.</w:t>
      </w:r>
    </w:p>
    <w:p>
      <w:pPr>
        <w:jc w:val="center"/>
      </w:pPr>
      <w:r>
        <w:drawing>
          <wp:inline xmlns:a="http://schemas.openxmlformats.org/drawingml/2006/main" xmlns:pic="http://schemas.openxmlformats.org/drawingml/2006/picture">
            <wp:extent cx="3960000" cy="2480743"/>
            <wp:docPr id="3" name="Picture 3"/>
            <wp:cNvGraphicFramePr>
              <a:graphicFrameLocks noChangeAspect="1"/>
            </wp:cNvGraphicFramePr>
            <a:graphic>
              <a:graphicData uri="http://schemas.openxmlformats.org/drawingml/2006/picture">
                <pic:pic>
                  <pic:nvPicPr>
                    <pic:cNvPr id="0" name="stiff_BH-1.png"/>
                    <pic:cNvPicPr/>
                  </pic:nvPicPr>
                  <pic:blipFill>
                    <a:blip r:embed="rId12"/>
                    <a:stretch>
                      <a:fillRect/>
                    </a:stretch>
                  </pic:blipFill>
                  <pic:spPr>
                    <a:xfrm>
                      <a:off x="0" y="0"/>
                      <a:ext cx="3960000" cy="2480743"/>
                    </a:xfrm>
                    <a:prstGeom prst="rect"/>
                  </pic:spPr>
                </pic:pic>
              </a:graphicData>
            </a:graphic>
          </wp:inline>
        </w:drawing>
      </w:r>
    </w:p>
    <w:p>
      <w:pPr>
        <w:jc w:val="center"/>
      </w:pPr>
      <w:r>
        <w:rPr>
          <w:b/>
          <w:sz w:val="18"/>
        </w:rPr>
        <w:t>Figure 3. Stiff diagram.</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Repeat physico-chemical and bacteriological testing at least once a year, and after any flooding or repair work on the wellhead.</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Water Quality Analyst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