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zone(s):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156797"/>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156797"/>
                    </a:xfrm>
                    <a:prstGeom prst="rect"/>
                  </pic:spPr>
                </pic:pic>
              </a:graphicData>
            </a:graphic>
          </wp:inline>
        </w:drawing>
      </w:r>
    </w:p>
    <w:p>
      <w:pPr>
        <w:jc w:val="center"/>
      </w:pPr>
      <w:r>
        <w:rPr>
          <w:b/>
          <w:sz w:val="18"/>
        </w:rPr>
        <w:t>Figure 1. Study area at Rokel, with the survey points and its location in Sierra Leone inset. Boundaries from geoBoundaries (CC BY 4.0).</w:t>
      </w:r>
    </w:p>
    <w:p>
      <w:pPr>
        <w:jc w:val="center"/>
      </w:pPr>
      <w:r>
        <w:drawing>
          <wp:inline xmlns:a="http://schemas.openxmlformats.org/drawingml/2006/main" xmlns:pic="http://schemas.openxmlformats.org/drawingml/2006/picture">
            <wp:extent cx="5400000" cy="533477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334771"/>
                    </a:xfrm>
                    <a:prstGeom prst="rect"/>
                  </pic:spPr>
                </pic:pic>
              </a:graphicData>
            </a:graphic>
          </wp:inline>
        </w:drawing>
      </w:r>
    </w:p>
    <w:p>
      <w:pPr>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71861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718612"/>
                    </a:xfrm>
                    <a:prstGeom prst="rect"/>
                  </pic:spPr>
                </pic:pic>
              </a:graphicData>
            </a:graphic>
          </wp:inline>
        </w:drawing>
      </w:r>
    </w:p>
    <w:p>
      <w:pPr>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713812"/>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713812"/>
                    </a:xfrm>
                    <a:prstGeom prst="rect"/>
                  </pic:spPr>
                </pic:pic>
              </a:graphicData>
            </a:graphic>
          </wp:inline>
        </w:drawing>
      </w:r>
    </w:p>
    <w:p>
      <w:pPr>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75701"/>
                    </a:xfrm>
                    <a:prstGeom prst="rect"/>
                  </pic:spPr>
                </pic:pic>
              </a:graphicData>
            </a:graphic>
          </wp:inline>
        </w:drawing>
      </w:r>
    </w:p>
    <w:p>
      <w:pPr>
        <w:jc w:val="center"/>
      </w:pPr>
      <w:r>
        <w:rPr>
          <w:b/>
          <w:sz w:val="18"/>
        </w:rPr>
        <w:t>Figure 5. Schlumberger array VES curve and model at point A (1). The dashed line is the IPI2Win model (as reported). The model panel is drawn to the depth of investigation (40 m).</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45763"/>
                    </a:xfrm>
                    <a:prstGeom prst="rect"/>
                  </pic:spPr>
                </pic:pic>
              </a:graphicData>
            </a:graphic>
          </wp:inline>
        </w:drawing>
      </w:r>
    </w:p>
    <w:p>
      <w:pPr>
        <w:jc w:val="center"/>
      </w:pPr>
      <w:r>
        <w:rPr>
          <w:b/>
          <w:sz w:val="18"/>
        </w:rPr>
        <w:t>Figure 7. Schlumberger array VES curve and model at point B (2). The dashed line is the IPI2Win model (as reported). The model panel is drawn to the depth of investigation (40 m).</w:t>
      </w:r>
    </w:p>
    <w:p>
      <w:r>
        <w:rPr>
          <w:b/>
          <w:sz w:val="18"/>
        </w:rPr>
        <w:t>Table 5.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61228"/>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61228"/>
                    </a:xfrm>
                    <a:prstGeom prst="rect"/>
                  </pic:spPr>
                </pic:pic>
              </a:graphicData>
            </a:graphic>
          </wp:inline>
        </w:drawing>
      </w:r>
    </w:p>
    <w:p>
      <w:pPr>
        <w:jc w:val="center"/>
      </w:pPr>
      <w:r>
        <w:rPr>
          <w:b/>
          <w:sz w:val="18"/>
        </w:rPr>
        <w:t>Figure 9. Drill-target suitability of the surveyed points; greener is more suitable. Where three or more points enclose an area the surface between them is interpolated and blanked outside their hull; where they do not, only the points are drawn.</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