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5C8B"/>
          <w:sz w:val="40"/>
        </w:rPr>
        <w:t>PROJECT HANDOVER REPORT</w:t>
      </w:r>
    </w:p>
    <w:p>
      <w:pPr>
        <w:jc w:val="center"/>
      </w:pPr>
      <w:r>
        <w:rPr>
          <w:sz w:val="26"/>
        </w:rPr>
        <w:t>Borehole Water Supply</w:t>
      </w:r>
    </w:p>
    <w:p>
      <w:pPr>
        <w:jc w:val="center"/>
      </w:pPr>
      <w:r>
        <w:rPr>
          <w:sz w:val="26"/>
        </w:rPr>
        <w:t>at Dr. Timbo's Residence, Western Area Rural District</w:t>
      </w:r>
    </w:p>
    <w:p/>
    <w:p/>
    <w:p/>
    <w:p>
      <w:pPr>
        <w:jc w:val="center"/>
      </w:pPr>
      <w:r>
        <w:rPr>
          <w:b/>
        </w:rPr>
        <w:t xml:space="preserve">Client: </w:t>
      </w:r>
      <w:r>
        <w:t>Dr. Timbo</w:t>
      </w:r>
    </w:p>
    <w:p>
      <w:pPr>
        <w:jc w:val="center"/>
      </w:pPr>
      <w:r>
        <w:rPr>
          <w:b/>
        </w:rPr>
        <w:t xml:space="preserve">Project: </w:t>
      </w:r>
      <w:r/>
    </w:p>
    <w:p>
      <w:pPr>
        <w:jc w:val="center"/>
      </w:pPr>
      <w:r>
        <w:rPr>
          <w:b/>
        </w:rPr>
        <w:t xml:space="preserve">Contractor: </w:t>
      </w:r>
      <w:r>
        <w:t>WiNGiN Heavy Duty Machines Co. Ltd</w:t>
      </w:r>
    </w:p>
    <w:p>
      <w:pPr>
        <w:jc w:val="center"/>
      </w:pPr>
      <w:r>
        <w:rPr>
          <w:b/>
        </w:rPr>
        <w:t xml:space="preserve">Date: </w:t>
      </w:r>
      <w:r/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Update Field to fill the table of contents.</w:t>
        <w:fldChar w:fldCharType="end"/>
      </w:r>
    </w:p>
    <w:p>
      <w:r>
        <w:br w:type="page"/>
      </w:r>
    </w:p>
    <w:p>
      <w:pPr>
        <w:pStyle w:val="Heading1"/>
      </w:pPr>
      <w:r>
        <w:t>1. Project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Community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Dr. Timbo's Residence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Chiefdom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District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Western Area Rural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Client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Dr. Timbo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Contractor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WiNGiN Heavy Duty Machines Co. Ltd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Project reference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GPS East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GPS North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9"/>
              </w:rPr>
              <w:t>Latitude / Longitude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Elevation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2. Works Completed</w:t>
      </w:r>
    </w:p>
    <w:p>
      <w:pPr>
        <w:pStyle w:val="ListBullet"/>
      </w:pPr>
      <w:r>
        <w:t>Geophysical siting survey and borehole location selection.</w:t>
      </w:r>
    </w:p>
    <w:p>
      <w:pPr>
        <w:pStyle w:val="ListBullet"/>
      </w:pPr>
      <w:r>
        <w:t>Drilling of the borehole to 70 m by Air rotary (DTH hammer).</w:t>
      </w:r>
    </w:p>
    <w:p>
      <w:pPr>
        <w:pStyle w:val="ListBullet"/>
      </w:pPr>
      <w:r>
        <w:t>Construction with 5 inch uPVC casing and screens, gravel pack and sanitary seal.</w:t>
      </w:r>
    </w:p>
    <w:p>
      <w:pPr>
        <w:pStyle w:val="ListBullet"/>
      </w:pPr>
      <w:r>
        <w:t>Development of the borehole by air lifting until clear.</w:t>
      </w:r>
    </w:p>
    <w:p>
      <w:pPr>
        <w:pStyle w:val="ListBullet"/>
      </w:pPr>
      <w:r>
        <w:t>Pumping test and yield assessment.</w:t>
      </w:r>
    </w:p>
    <w:p>
      <w:pPr>
        <w:pStyle w:val="ListBullet"/>
      </w:pPr>
      <w:r>
        <w:t>Water quality sampling and laboratory analysis.</w:t>
      </w:r>
    </w:p>
    <w:p>
      <w:pPr>
        <w:pStyle w:val="ListBullet"/>
      </w:pPr>
      <w:r>
        <w:t>Wellhead completion with apron and drainage.</w:t>
      </w:r>
    </w:p>
    <w:p>
      <w:pPr>
        <w:pStyle w:val="Heading1"/>
      </w:pPr>
      <w:r>
        <w:t>3. Borehole Data Sheet</w:t>
      </w:r>
    </w:p>
    <w:p>
      <w:r>
        <w:rPr>
          <w:b/>
          <w:sz w:val="18"/>
        </w:rPr>
        <w:t>Table 1. Key borehole data.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536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Borehole reference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BH-1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Total depth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70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Drilling method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Air rotary (DTH hammer)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Water strikes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12 m, 30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Completion date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13th May, 2018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Status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Successful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Total depth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70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Drilled diameter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6.5"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Casing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5" uPVC, stick-up 0.5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Screens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14-17 m; 25-35 m; 45-50 m; 55-60 m (slot 0.75 mm)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Gravel pack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12-70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Backfill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3-12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Sanitary seal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0-3 m cement grout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Static water level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9.44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Water strikes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12 m, 30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Recommended pump intake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40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Transmissivity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1.4 m2/day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Safe yield (safety factor 1.5)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1.01 m3/h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Pump installation depth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40 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9"/>
              </w:rPr>
              <w:t>Pump type</w:t>
            </w:r>
          </w:p>
        </w:tc>
        <w:tc>
          <w:tcPr>
            <w:tcW w:type="dxa" w:w="4536"/>
          </w:tcPr>
          <w:p>
            <w:r/>
            <w:r>
              <w:rPr>
                <w:sz w:val="19"/>
              </w:rPr>
              <w:t>Submersible pump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5329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rehole_de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329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Figure 1. As-built borehole diagram.</w:t>
      </w:r>
    </w:p>
    <w:p>
      <w:pPr>
        <w:pStyle w:val="Heading1"/>
      </w:pPr>
      <w:r>
        <w:t>4. Water Quality</w:t>
      </w:r>
    </w:p>
    <w:p>
      <w:pPr>
        <w:jc w:val="both"/>
      </w:pPr>
      <w:r>
        <w:rPr>
          <w:b w:val="0"/>
          <w:i w:val="0"/>
        </w:rPr>
        <w:t>The water does not meet the health based guideline value(s) for: Manganese. Treatment or an alternative source is required before the water is used for drinking.</w:t>
      </w:r>
    </w:p>
    <w:p>
      <w:r>
        <w:rPr>
          <w:b/>
          <w:sz w:val="18"/>
        </w:rPr>
        <w:t>Table 2. Parameters above guideline or standard limits.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2268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  <w:tc>
          <w:tcPr>
            <w:tcW w:type="dxa" w:w="2268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Unit</w:t>
            </w:r>
          </w:p>
        </w:tc>
        <w:tc>
          <w:tcPr>
            <w:tcW w:type="dxa" w:w="2268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Remark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Manganese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0.12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mg/L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exceeds the WHO health based guideline (0.08)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pH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5.9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pH units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exceeds the national standard limit (6.5-8.5)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Iron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0.85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mg/L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exceeds the national standard limit (0.3)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Total coliforms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CFU/100 mL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exceeds the national standard limit (0)</w:t>
            </w:r>
          </w:p>
        </w:tc>
      </w:tr>
    </w:tbl>
    <w:p/>
    <w:p>
      <w:pPr>
        <w:pStyle w:val="Heading1"/>
      </w:pPr>
      <w:r>
        <w:t>5. Operation and Maintenance Guidance</w:t>
      </w:r>
    </w:p>
    <w:p>
      <w:pPr>
        <w:jc w:val="both"/>
      </w:pPr>
      <w:r>
        <w:rPr>
          <w:b w:val="0"/>
          <w:i w:val="0"/>
        </w:rPr>
        <w:t>The lifetime of the borehole depends on routine care. The tasks below follow standard rural water supply practice; the community should keep a logbook of all maintenance, breakdowns and payments.</w:t>
      </w:r>
    </w:p>
    <w:p>
      <w:r>
        <w:rPr>
          <w:b/>
          <w:i w:val="0"/>
        </w:rPr>
        <w:t>Daily</w:t>
      </w:r>
    </w:p>
    <w:p>
      <w:pPr>
        <w:pStyle w:val="ListBullet"/>
      </w:pPr>
      <w:r>
        <w:t>Keep the apron and surroundings clean; no washing or animal watering on the apron.</w:t>
      </w:r>
    </w:p>
    <w:p>
      <w:pPr>
        <w:pStyle w:val="ListBullet"/>
      </w:pPr>
      <w:r>
        <w:t>Check for leaks, unusual pump noise and discoloured water.</w:t>
      </w:r>
    </w:p>
    <w:p>
      <w:pPr>
        <w:pStyle w:val="ListBullet"/>
      </w:pPr>
      <w:r>
        <w:t>Keep the drainage channel and soakaway free flowing.</w:t>
      </w:r>
    </w:p>
    <w:p>
      <w:r>
        <w:rPr>
          <w:b/>
          <w:i w:val="0"/>
        </w:rPr>
        <w:t>Weekly</w:t>
      </w:r>
    </w:p>
    <w:p>
      <w:pPr>
        <w:pStyle w:val="ListBullet"/>
      </w:pPr>
      <w:r>
        <w:t>Tighten loose bolts on the pump head and inspect the apron for cracks.</w:t>
      </w:r>
    </w:p>
    <w:p>
      <w:pPr>
        <w:pStyle w:val="ListBullet"/>
      </w:pPr>
      <w:r>
        <w:t>Record the approximate hours of use or strokes per day.</w:t>
      </w:r>
    </w:p>
    <w:p>
      <w:r>
        <w:rPr>
          <w:b/>
          <w:i w:val="0"/>
        </w:rPr>
        <w:t>Monthly</w:t>
      </w:r>
    </w:p>
    <w:p>
      <w:pPr>
        <w:pStyle w:val="ListBullet"/>
      </w:pPr>
      <w:r>
        <w:t>Measure and record the water level where a dip access exists.</w:t>
      </w:r>
    </w:p>
    <w:p>
      <w:pPr>
        <w:pStyle w:val="ListBullet"/>
      </w:pPr>
      <w:r>
        <w:t>Collect the agreed user fees and update the cash book.</w:t>
      </w:r>
    </w:p>
    <w:p>
      <w:pPr>
        <w:pStyle w:val="ListBullet"/>
      </w:pPr>
      <w:r>
        <w:t>Inspect the fence and the sanitary protection zone (no pit latrine, refuse pit or animal pen within 30 m).</w:t>
      </w:r>
    </w:p>
    <w:p>
      <w:r>
        <w:rPr>
          <w:b/>
          <w:i w:val="0"/>
        </w:rPr>
        <w:t>Yearly</w:t>
      </w:r>
    </w:p>
    <w:p>
      <w:pPr>
        <w:pStyle w:val="ListBullet"/>
      </w:pPr>
      <w:r>
        <w:t>Service the pump according to the manufacturer schedule and replace fast wearing parts.</w:t>
      </w:r>
    </w:p>
    <w:p>
      <w:pPr>
        <w:pStyle w:val="ListBullet"/>
      </w:pPr>
      <w:r>
        <w:t>Repeat the physico-chemical and bacteriological water tests.</w:t>
      </w:r>
    </w:p>
    <w:p>
      <w:pPr>
        <w:pStyle w:val="ListBullet"/>
      </w:pPr>
      <w:r>
        <w:t>Review the tariff against the cost of spare parts.</w:t>
      </w:r>
    </w:p>
    <w:p>
      <w:r>
        <w:rPr>
          <w:b/>
          <w:i w:val="0"/>
        </w:rPr>
        <w:t>Operate the pump at no more than 1.01 m3/h and allow the recommended rest periods. If the water level reaches the pump intake, stop pumping and let the borehole recover.</w:t>
      </w:r>
    </w:p>
    <w:p>
      <w:pPr>
        <w:pStyle w:val="Heading1"/>
      </w:pPr>
      <w:r>
        <w:t>6. Community / WASH Committee</w:t>
      </w:r>
    </w:p>
    <w:p>
      <w:r>
        <w:rPr>
          <w:b/>
          <w:sz w:val="18"/>
        </w:rPr>
        <w:t>Table 3. WASH committee members responsible for the water point.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024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024"/>
            <w:shd w:val="clear" w:fill="1F5C8B"/>
          </w:tcPr>
          <w:p>
            <w:r/>
            <w:r>
              <w:rPr>
                <w:b/>
                <w:color w:val="FFFFFF"/>
                <w:sz w:val="19"/>
              </w:rPr>
              <w:t>Phone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Chairperson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To be completed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Secretary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To be completed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Treasurer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To be completed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Caretaker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To be completed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</w:r>
          </w:p>
        </w:tc>
      </w:tr>
    </w:tbl>
    <w:p/>
    <w:p>
      <w:pPr>
        <w:pStyle w:val="Heading1"/>
      </w:pPr>
      <w:r>
        <w:t>7. Recommendations</w:t>
      </w:r>
    </w:p>
    <w:p>
      <w:pPr>
        <w:pStyle w:val="ListBullet"/>
      </w:pPr>
      <w:r>
        <w:t>Implement the treatment measures in the water quality report before the water is used for drinking.</w:t>
      </w:r>
    </w:p>
    <w:p>
      <w:pPr>
        <w:pStyle w:val="ListBullet"/>
      </w:pPr>
      <w:r>
        <w:t>Protect the wellhead: keep the 30 m sanitary zone free of latrines, refuse pits and animal pens.</w:t>
      </w:r>
    </w:p>
    <w:p>
      <w:pPr>
        <w:pStyle w:val="ListBullet"/>
      </w:pPr>
      <w:r>
        <w:t>Keep this report and the borehole data sheet with the committee records; any future contractor will need them.</w:t>
      </w:r>
    </w:p>
    <w:p>
      <w:pPr>
        <w:pStyle w:val="ListBullet"/>
      </w:pPr>
      <w:r>
        <w:t>Report persistent taste, odour or discolouration to the district water office and arrange a water quality test.</w:t>
      </w:r>
    </w:p>
    <w:p>
      <w:pPr>
        <w:pStyle w:val="Heading1"/>
      </w:pPr>
      <w:r>
        <w:t>8. Handover Signatures</w:t>
      </w:r>
    </w:p>
    <w:p>
      <w:r>
        <w:rPr>
          <w:b w:val="0"/>
          <w:i w:val="0"/>
        </w:rPr>
        <w:t>The works described above are handed over to the client and the community in working condition.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..............................</w:t>
      </w:r>
    </w:p>
    <w:p>
      <w:r>
        <w:rPr>
          <w:b/>
          <w:i w:val="0"/>
        </w:rPr>
        <w:t>For the contractor: WiNGiN Heavy Duty Machines Co. Ltd</w:t>
      </w:r>
    </w:p>
    <w:p>
      <w:r>
        <w:rPr>
          <w:b w:val="0"/>
          <w:i w:val="0"/>
        </w:rPr>
        <w:t>Date: ........................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..............................</w:t>
      </w:r>
    </w:p>
    <w:p>
      <w:r>
        <w:rPr>
          <w:b/>
          <w:i w:val="0"/>
        </w:rPr>
        <w:t>For the client: Dr. Timbo</w:t>
      </w:r>
    </w:p>
    <w:p>
      <w:r>
        <w:rPr>
          <w:b w:val="0"/>
          <w:i w:val="0"/>
        </w:rPr>
        <w:t>Date: ........................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..............................</w:t>
      </w:r>
    </w:p>
    <w:p>
      <w:r>
        <w:rPr>
          <w:b/>
          <w:i w:val="0"/>
        </w:rPr>
        <w:t xml:space="preserve">For the community / WASH committee: </w:t>
      </w:r>
    </w:p>
    <w:p>
      <w:r>
        <w:rPr>
          <w:b w:val="0"/>
          <w:i w:val="0"/>
        </w:rPr>
        <w:t>Date: ........................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5C8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5C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5C8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Handover Report - Dr. Timbo's Residence</dc:title>
  <dc:subject/>
  <dc:creator>Groundwater Toolkit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