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5C8B"/>
          <w:sz w:val="40"/>
        </w:rPr>
        <w:t>WATER QUALITY REPORT</w:t>
      </w:r>
    </w:p>
    <w:p>
      <w:pPr>
        <w:jc w:val="center"/>
      </w:pPr>
      <w:r>
        <w:rPr>
          <w:sz w:val="26"/>
        </w:rPr>
        <w:t>Borehole water assessment at Dr. Timbo's Residence, Western Area Rural District</w:t>
      </w:r>
    </w:p>
    <w:p/>
    <w:p/>
    <w:p/>
    <w:p>
      <w:pPr>
        <w:jc w:val="center"/>
      </w:pPr>
      <w:r>
        <w:rPr>
          <w:b/>
        </w:rPr>
        <w:t xml:space="preserve">Client: </w:t>
      </w:r>
      <w:r>
        <w:t>Dr. Timbo</w:t>
      </w:r>
    </w:p>
    <w:p>
      <w:pPr>
        <w:jc w:val="center"/>
      </w:pPr>
      <w:r>
        <w:rPr>
          <w:b/>
        </w:rPr>
        <w:t xml:space="preserve">Sample ID: </w:t>
      </w:r>
      <w:r>
        <w:t>WQ-BH1-01</w:t>
      </w:r>
    </w:p>
    <w:p>
      <w:pPr>
        <w:jc w:val="center"/>
      </w:pPr>
      <w:r>
        <w:rPr>
          <w:b/>
        </w:rPr>
        <w:t xml:space="preserve">Borehole: </w:t>
      </w:r>
      <w:r>
        <w:t>BH-1</w:t>
      </w:r>
    </w:p>
    <w:p>
      <w:pPr>
        <w:jc w:val="center"/>
      </w:pPr>
      <w:r>
        <w:rPr>
          <w:b/>
        </w:rPr>
        <w:t xml:space="preserve">Sample date: </w:t>
      </w:r>
      <w:r>
        <w:t>20th May, 2018</w:t>
      </w:r>
    </w:p>
    <w:p>
      <w:pPr>
        <w:jc w:val="center"/>
      </w:pPr>
      <w:r>
        <w:rPr>
          <w:b/>
        </w:rPr>
        <w:t xml:space="preserve">Laboratory: </w:t>
      </w:r>
      <w:r>
        <w:t>Example Laboratory, Freetown</w:t>
      </w:r>
    </w:p>
    <w:p>
      <w:r>
        <w:br w:type="page"/>
      </w:r>
    </w:p>
    <w:p>
      <w:pPr>
        <w:pStyle w:val="Heading1"/>
      </w:pPr>
      <w:r>
        <w:t>1. Sample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Community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Dr. Timbo's Residence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Client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Dr. Timbo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Sample ID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WQ-BH1-01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Borehole Ref. No.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BH-1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Sample date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20th May, 2018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Laboratory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Example Laboratory, Freetown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District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Western Area Rural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Project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Borehole completion</w:t>
            </w:r>
          </w:p>
        </w:tc>
      </w:tr>
    </w:tbl>
    <w:p/>
    <w:p>
      <w:pPr>
        <w:jc w:val="both"/>
      </w:pPr>
      <w:r>
        <w:rPr>
          <w:b w:val="0"/>
          <w:i w:val="0"/>
        </w:rPr>
        <w:t>Results are compared against the WHO Guidelines for Drinking-water Quality (fourth edition with addenda) and the national standard limits configured for this project. Values reported by the laboratory as below the detection limit are shown as such.</w:t>
      </w:r>
    </w:p>
    <w:p>
      <w:pPr>
        <w:pStyle w:val="Heading1"/>
      </w:pPr>
      <w:r>
        <w:t>2. Results Against Guideline Values</w:t>
      </w:r>
    </w:p>
    <w:p>
      <w:r>
        <w:rPr>
          <w:b w:val="0"/>
          <w:i w:val="0"/>
        </w:rPr>
        <w:t>Table 1 lists every parameter tested. Exceedances are highlighted in the status column.</w:t>
      </w:r>
    </w:p>
    <w:p>
      <w:r>
        <w:rPr>
          <w:b/>
          <w:sz w:val="18"/>
        </w:rPr>
        <w:t>Table 1. Laboratory results against guideline values.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fill="1F5C8B"/>
          </w:tcPr>
          <w:p>
            <w:r/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type="dxa" w:w="1296"/>
            <w:shd w:val="clear" w:fill="1F5C8B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  <w:tc>
          <w:tcPr>
            <w:tcW w:type="dxa" w:w="1296"/>
            <w:shd w:val="clear" w:fill="1F5C8B"/>
          </w:tcPr>
          <w:p>
            <w:r/>
            <w:r>
              <w:rPr>
                <w:b/>
                <w:color w:val="FFFFFF"/>
                <w:sz w:val="17"/>
              </w:rPr>
              <w:t>Unit</w:t>
            </w:r>
          </w:p>
        </w:tc>
        <w:tc>
          <w:tcPr>
            <w:tcW w:type="dxa" w:w="1296"/>
            <w:shd w:val="clear" w:fill="1F5C8B"/>
          </w:tcPr>
          <w:p>
            <w:r/>
            <w:r>
              <w:rPr>
                <w:b/>
                <w:color w:val="FFFFFF"/>
                <w:sz w:val="17"/>
              </w:rPr>
              <w:t>WHO health</w:t>
            </w:r>
          </w:p>
        </w:tc>
        <w:tc>
          <w:tcPr>
            <w:tcW w:type="dxa" w:w="1296"/>
            <w:shd w:val="clear" w:fill="1F5C8B"/>
          </w:tcPr>
          <w:p>
            <w:r/>
            <w:r>
              <w:rPr>
                <w:b/>
                <w:color w:val="FFFFFF"/>
                <w:sz w:val="17"/>
              </w:rPr>
              <w:t>WHO acceptability</w:t>
            </w:r>
          </w:p>
        </w:tc>
        <w:tc>
          <w:tcPr>
            <w:tcW w:type="dxa" w:w="1296"/>
            <w:shd w:val="clear" w:fill="1F5C8B"/>
          </w:tcPr>
          <w:p>
            <w:r/>
            <w:r>
              <w:rPr>
                <w:b/>
                <w:color w:val="FFFFFF"/>
                <w:sz w:val="17"/>
              </w:rPr>
              <w:t>National</w:t>
            </w:r>
          </w:p>
        </w:tc>
        <w:tc>
          <w:tcPr>
            <w:tcW w:type="dxa" w:w="1296"/>
            <w:shd w:val="clear" w:fill="1F5C8B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pH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5.9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pH units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6.5-8.5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6.5-8.5</w:t>
            </w:r>
          </w:p>
        </w:tc>
        <w:tc>
          <w:tcPr>
            <w:tcW w:type="dxa" w:w="1296"/>
          </w:tcPr>
          <w:p>
            <w:r>
              <w:rPr>
                <w:b/>
                <w:color w:val="B00000"/>
              </w:rPr>
            </w:r>
            <w:r>
              <w:rPr>
                <w:b/>
                <w:color w:val="B00000"/>
                <w:sz w:val="17"/>
              </w:rPr>
              <w:t>Exceeds national limit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Electrical conductivity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185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uS/cm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2500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Complies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TDS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120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1000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1000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Complies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Turbidity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3.2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NTU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Complies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Temperature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27.4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deg C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No guideline value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Total hardness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58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 as CaCO3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500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500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Complies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Alkalinity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46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 as CaCO3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No guideline value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Calcium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14.2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No guideline value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Magnesium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5.5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No guideline value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Sodium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12.6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200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200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Complies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Potassium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2.1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No guideline value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Bicarbonate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56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No guideline value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Chloride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18.4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250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250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Complies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Sulfate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6.8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250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250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Complies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Nitrate (as NO3)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8.2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50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50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Complies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Nitrite (as NO2)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&lt; DL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Below detection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Ammonia (as N)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0.12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1.5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1.5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Complies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Fluoride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0.22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1.5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1.5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Complies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Iron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0.85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0.3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0.3</w:t>
            </w:r>
          </w:p>
        </w:tc>
        <w:tc>
          <w:tcPr>
            <w:tcW w:type="dxa" w:w="1296"/>
          </w:tcPr>
          <w:p>
            <w:r>
              <w:rPr>
                <w:b/>
                <w:color w:val="B00000"/>
              </w:rPr>
            </w:r>
            <w:r>
              <w:rPr>
                <w:b/>
                <w:color w:val="B00000"/>
                <w:sz w:val="17"/>
              </w:rPr>
              <w:t>Exceeds national limit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Manganese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0.12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0.08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0.1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0.08</w:t>
            </w:r>
          </w:p>
        </w:tc>
        <w:tc>
          <w:tcPr>
            <w:tcW w:type="dxa" w:w="1296"/>
          </w:tcPr>
          <w:p>
            <w:r>
              <w:rPr>
                <w:b/>
                <w:color w:val="B00000"/>
              </w:rPr>
            </w:r>
            <w:r>
              <w:rPr>
                <w:b/>
                <w:color w:val="B00000"/>
                <w:sz w:val="17"/>
              </w:rPr>
              <w:t>EXCEEDS HEALTH GUIDELINE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Arsenic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&lt; DL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0.01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0.01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Below detection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Lead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&lt; DL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0.01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0.01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Below detection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Copper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0.02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Complies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Zinc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0.11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Complies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Chromium (total)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&lt; DL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0.05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0.05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Below detection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Cadmium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&lt; DL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mg/L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0.003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0.003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Below detection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E. coli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CFU/100 mL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Complies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Total coliforms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CFU/100 mL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296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b/>
                <w:color w:val="B00000"/>
              </w:rPr>
            </w:r>
            <w:r>
              <w:rPr>
                <w:b/>
                <w:color w:val="B00000"/>
                <w:sz w:val="17"/>
              </w:rPr>
              <w:t>Exceeds national limit</w:t>
            </w:r>
          </w:p>
        </w:tc>
      </w:tr>
    </w:tbl>
    <w:p/>
    <w:p>
      <w:pPr>
        <w:jc w:val="both"/>
      </w:pPr>
      <w:r>
        <w:rPr>
          <w:b/>
          <w:i w:val="0"/>
        </w:rPr>
        <w:t>The water does not meet the health based guideline value(s) for: Manganese. Treatment or an alternative source is required before the water is used for drinking.</w:t>
      </w:r>
    </w:p>
    <w:p>
      <w:pPr>
        <w:pStyle w:val="Heading1"/>
      </w:pPr>
      <w:r>
        <w:t>3. Ionic Balance Check</w:t>
      </w:r>
    </w:p>
    <w:p>
      <w:pPr>
        <w:jc w:val="both"/>
      </w:pPr>
      <w:r>
        <w:rPr>
          <w:b w:val="0"/>
          <w:i w:val="0"/>
        </w:rPr>
        <w:t>Sum of cations 1.8 meq/L, sum of anions 1.72 meq/L, charge balance error +2.1 percent. The analysis balances within the normal 5 percent tolerance.</w:t>
      </w:r>
    </w:p>
    <w:p>
      <w:pPr>
        <w:pStyle w:val="Heading1"/>
      </w:pPr>
      <w:r>
        <w:t>4. Hydrochemical Facies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270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70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Figure 1. Piper diagram.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4836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8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Figure 2. Stiff diagram.</w:t>
      </w:r>
    </w:p>
    <w:p>
      <w:pPr>
        <w:pStyle w:val="Heading1"/>
      </w:pPr>
      <w:r>
        <w:t>5. Recommendations</w:t>
      </w:r>
    </w:p>
    <w:p>
      <w:pPr>
        <w:pStyle w:val="ListBullet"/>
      </w:pPr>
      <w:r>
        <w:t>Manganese requires oxidation and filtration (aeration or chlorination followed by filtration); monitor infant exposure in the meantime.</w:t>
      </w:r>
    </w:p>
    <w:p>
      <w:pPr>
        <w:pStyle w:val="ListBullet"/>
      </w:pPr>
      <w:r>
        <w:t>Low pH water is corrosive to metal fittings; a limestone contactor or careful choice of corrosion resistant materials is advised.</w:t>
      </w:r>
    </w:p>
    <w:p>
      <w:pPr>
        <w:pStyle w:val="ListBullet"/>
      </w:pPr>
      <w:r>
        <w:t>Iron above the acceptability value causes staining and metallic taste; aeration followed by sand filtration or a simple oxidation filter normally resolves it.</w:t>
      </w:r>
    </w:p>
    <w:p>
      <w:pPr>
        <w:pStyle w:val="ListBullet"/>
      </w:pPr>
      <w:r>
        <w:t>Coliform detection calls for disinfection of the borehole and pump, a sanitary inspection of the wellhead, and re-sampling.</w:t>
      </w:r>
    </w:p>
    <w:p>
      <w:pPr>
        <w:pStyle w:val="ListBullet"/>
      </w:pPr>
      <w:r>
        <w:t>Repeat physico-chemical and bacteriological testing at least once a year, and after any flooding or repair work on the wellhead.</w:t>
      </w:r>
    </w:p>
    <w:p>
      <w:r>
        <w:rPr>
          <w:b/>
          <w:i w:val="0"/>
        </w:rPr>
        <w:t>REPORT SUBMITTED BY:</w:t>
      </w:r>
    </w:p>
    <w:p/>
    <w:p/>
    <w:p>
      <w:r>
        <w:rPr>
          <w:b w:val="0"/>
          <w:i w:val="0"/>
        </w:rPr>
        <w:t>..............................</w:t>
      </w:r>
    </w:p>
    <w:p>
      <w:r>
        <w:rPr>
          <w:b/>
          <w:i w:val="0"/>
        </w:rPr>
        <w:t>A. N. Analyst</w:t>
      </w:r>
    </w:p>
    <w:p>
      <w:r>
        <w:rPr>
          <w:b w:val="0"/>
          <w:i/>
        </w:rPr>
        <w:t>Water Quality Analyst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5C8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5C8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5C8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33333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 Quality Report - Dr. Timbo's Residence</dc:title>
  <dc:subject/>
  <dc:creator>Groundwater Toolkit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