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With Recovery Test</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w:t>
            </w:r>
          </w:p>
        </w:tc>
        <w:tc>
          <w:tcPr>
            <w:tcW w:type="dxa" w:w="2268"/>
          </w:tcPr>
          <w:p>
            <w:r/>
            <w:r>
              <w:rPr>
                <w:sz w:val="19"/>
              </w:rPr>
              <w:t>60 m</w:t>
            </w:r>
          </w:p>
        </w:tc>
        <w:tc>
          <w:tcPr>
            <w:tcW w:type="dxa" w:w="2268"/>
          </w:tcPr>
          <w:p>
            <w:r/>
            <w:r>
              <w:rPr>
                <w:b/>
                <w:sz w:val="19"/>
              </w:rPr>
              <w:t>Length of each step</w:t>
            </w:r>
          </w:p>
        </w:tc>
        <w:tc>
          <w:tcPr>
            <w:tcW w:type="dxa" w:w="2268"/>
          </w:tcPr>
          <w:p>
            <w:r/>
            <w:r>
              <w:rPr>
                <w:sz w:val="19"/>
              </w:rPr>
              <w:t>60 min</w:t>
            </w:r>
          </w:p>
        </w:tc>
      </w:tr>
    </w:tbl>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2702179"/>
            <wp:docPr id="1" name="Picture 1"/>
            <wp:cNvGraphicFramePr>
              <a:graphicFrameLocks noChangeAspect="1"/>
            </wp:cNvGraphicFramePr>
            <a:graphic>
              <a:graphicData uri="http://schemas.openxmlformats.org/drawingml/2006/picture">
                <pic:pic>
                  <pic:nvPicPr>
                    <pic:cNvPr id="0" name="test_overview.png"/>
                    <pic:cNvPicPr/>
                  </pic:nvPicPr>
                  <pic:blipFill>
                    <a:blip r:embed="rId10"/>
                    <a:stretch>
                      <a:fillRect/>
                    </a:stretch>
                  </pic:blipFill>
                  <pic:spPr>
                    <a:xfrm>
                      <a:off x="0" y="0"/>
                      <a:ext cx="5400000" cy="2702179"/>
                    </a:xfrm>
                    <a:prstGeom prst="rect"/>
                  </pic:spPr>
                </pic:pic>
              </a:graphicData>
            </a:graphic>
          </wp:inline>
        </w:drawing>
      </w:r>
    </w:p>
    <w:p>
      <w:pPr>
        <w:jc w:val="center"/>
      </w:pPr>
      <w:r>
        <w:rPr>
          <w:b/>
          <w:sz w:val="18"/>
        </w:rPr>
        <w:t>Figure 1. Water level record for the full test including recovery.</w:t>
      </w:r>
    </w:p>
    <w:p>
      <w:r>
        <w:rPr>
          <w:b w:val="0"/>
          <w:i w:val="0"/>
        </w:rPr>
        <w:t>The maximum drawdown reached 59.2 m below the static water level.</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191611"/>
            <wp:docPr id="2" name="Picture 2"/>
            <wp:cNvGraphicFramePr>
              <a:graphicFrameLocks noChangeAspect="1"/>
            </wp:cNvGraphicFramePr>
            <a:graphic>
              <a:graphicData uri="http://schemas.openxmlformats.org/drawingml/2006/picture">
                <pic:pic>
                  <pic:nvPicPr>
                    <pic:cNvPr id="0" name="step_test.png"/>
                    <pic:cNvPicPr/>
                  </pic:nvPicPr>
                  <pic:blipFill>
                    <a:blip r:embed="rId11"/>
                    <a:stretch>
                      <a:fillRect/>
                    </a:stretch>
                  </pic:blipFill>
                  <pic:spPr>
                    <a:xfrm>
                      <a:off x="0" y="0"/>
                      <a:ext cx="5400000" cy="3191611"/>
                    </a:xfrm>
                    <a:prstGeom prst="rect"/>
                  </pic:spPr>
                </pic:pic>
              </a:graphicData>
            </a:graphic>
          </wp:inline>
        </w:drawing>
      </w:r>
    </w:p>
    <w:p>
      <w:pPr>
        <w:jc w:val="center"/>
      </w:pPr>
      <w:r>
        <w:rPr>
          <w:b/>
          <w:sz w:val="18"/>
        </w:rPr>
        <w:t>Figure 2.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26.4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bl>
    <w:p/>
    <w:p>
      <w:pPr>
        <w:pStyle w:val="Heading1"/>
      </w:pPr>
      <w:r>
        <w:t>5. Yield Recommendation</w:t>
      </w:r>
    </w:p>
    <w:p>
      <w:pPr>
        <w:jc w:val="both"/>
      </w:pPr>
      <w:r>
        <w:rPr>
          <w:b w:val="0"/>
          <w:i w:val="0"/>
        </w:rPr>
        <w:t>Yield recommendation pending: discharge is missing on the field sheet.</w:t>
      </w:r>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