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Executive Summary</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value(s) for Manganese, Total coliforms, so treatment or an alternative source is required before it is used for drinking.</w:t>
      </w:r>
    </w:p>
    <w:p>
      <w:r>
        <w:rPr>
          <w:b/>
          <w:i w:val="0"/>
        </w:rPr>
        <w:t>Key findings:</w:t>
      </w:r>
    </w:p>
    <w:p>
      <w:pPr>
        <w:pStyle w:val="ListBullet"/>
      </w:pPr>
      <w:r>
        <w:t>Health based exceedance(s): Manganese,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627023"/>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040000" cy="4627023"/>
                    </a:xfrm>
                    <a:prstGeom prst="rect"/>
                  </pic:spPr>
                </pic:pic>
              </a:graphicData>
            </a:graphic>
          </wp:inline>
        </w:drawing>
      </w:r>
    </w:p>
    <w:p>
      <w:pPr>
        <w:jc w:val="center"/>
      </w:pPr>
      <w:r>
        <w:rPr>
          <w:b/>
          <w:sz w:val="18"/>
        </w:rPr>
        <w:t>Figure 1. Location of Western Area Rural district. Boundaries from geoBoundaries (CC BY 4.0).</w:t>
      </w:r>
    </w:p>
    <w:p>
      <w:pPr>
        <w:pStyle w:val="Heading1"/>
      </w:pPr>
      <w:r>
        <w:t>2. Results Against Guideline Values</w:t>
      </w:r>
    </w:p>
    <w:p>
      <w:r>
        <w:rPr>
          <w:b w:val="0"/>
          <w:i w:val="0"/>
        </w:rPr>
        <w:t>Table 1 lists every parameter tested. Exceedances are highlighted in the status column.</w:t>
      </w:r>
    </w:p>
    <w:p>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t>5</w:t>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t>500</w:t>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HEALTH GUIDELINE</w:t>
            </w:r>
          </w:p>
        </w:tc>
      </w:tr>
    </w:tbl>
    <w:p/>
    <w:p>
      <w:pPr>
        <w:jc w:val="both"/>
      </w:pPr>
      <w:r>
        <w:rPr>
          <w:b/>
          <w:i w:val="0"/>
        </w:rPr>
        <w:t>The water does not meet the health based guideline value(s) for: Manganese, Total coliforms.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and it can be aggressive even though the pH is within the acceptability range, which is typical of soft basement groundwater.</w:t>
      </w:r>
    </w:p>
    <w:p>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Heading1"/>
      </w:pPr>
      <w:r>
        <w:t>5. Hydrochemical Facies</w:t>
      </w:r>
    </w:p>
    <w:p>
      <w:pPr>
        <w:jc w:val="center"/>
      </w:pPr>
      <w:r>
        <w:drawing>
          <wp:inline xmlns:a="http://schemas.openxmlformats.org/drawingml/2006/main" xmlns:pic="http://schemas.openxmlformats.org/drawingml/2006/picture">
            <wp:extent cx="4680000" cy="4270289"/>
            <wp:docPr id="2" name="Picture 2"/>
            <wp:cNvGraphicFramePr>
              <a:graphicFrameLocks noChangeAspect="1"/>
            </wp:cNvGraphicFramePr>
            <a:graphic>
              <a:graphicData uri="http://schemas.openxmlformats.org/drawingml/2006/picture">
                <pic:pic>
                  <pic:nvPicPr>
                    <pic:cNvPr id="0" name="piper_BH-1.png"/>
                    <pic:cNvPicPr/>
                  </pic:nvPicPr>
                  <pic:blipFill>
                    <a:blip r:embed="rId11"/>
                    <a:stretch>
                      <a:fillRect/>
                    </a:stretch>
                  </pic:blipFill>
                  <pic:spPr>
                    <a:xfrm>
                      <a:off x="0" y="0"/>
                      <a:ext cx="4680000" cy="4270289"/>
                    </a:xfrm>
                    <a:prstGeom prst="rect"/>
                  </pic:spPr>
                </pic:pic>
              </a:graphicData>
            </a:graphic>
          </wp:inline>
        </w:drawing>
      </w:r>
    </w:p>
    <w:p>
      <w:pPr>
        <w:jc w:val="center"/>
      </w:pPr>
      <w:r>
        <w:rPr>
          <w:b/>
          <w:sz w:val="18"/>
        </w:rPr>
        <w:t>Figure 2. Piper diagram.</w:t>
      </w:r>
    </w:p>
    <w:p>
      <w:pPr>
        <w:jc w:val="center"/>
      </w:pPr>
      <w:r>
        <w:drawing>
          <wp:inline xmlns:a="http://schemas.openxmlformats.org/drawingml/2006/main" xmlns:pic="http://schemas.openxmlformats.org/drawingml/2006/picture">
            <wp:extent cx="3960000" cy="2480743"/>
            <wp:docPr id="3" name="Picture 3"/>
            <wp:cNvGraphicFramePr>
              <a:graphicFrameLocks noChangeAspect="1"/>
            </wp:cNvGraphicFramePr>
            <a:graphic>
              <a:graphicData uri="http://schemas.openxmlformats.org/drawingml/2006/picture">
                <pic:pic>
                  <pic:nvPicPr>
                    <pic:cNvPr id="0" name="stiff_BH-1.png"/>
                    <pic:cNvPicPr/>
                  </pic:nvPicPr>
                  <pic:blipFill>
                    <a:blip r:embed="rId12"/>
                    <a:stretch>
                      <a:fillRect/>
                    </a:stretch>
                  </pic:blipFill>
                  <pic:spPr>
                    <a:xfrm>
                      <a:off x="0" y="0"/>
                      <a:ext cx="3960000" cy="2480743"/>
                    </a:xfrm>
                    <a:prstGeom prst="rect"/>
                  </pic:spPr>
                </pic:pic>
              </a:graphicData>
            </a:graphic>
          </wp:inline>
        </w:drawing>
      </w:r>
    </w:p>
    <w:p>
      <w:pPr>
        <w:jc w:val="center"/>
      </w:pPr>
      <w:r>
        <w:rPr>
          <w:b/>
          <w:sz w:val="18"/>
        </w:rPr>
        <w:t>Figure 3. Stiff diagram.</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Repeat physico-chemical and bacteriological testing at least once a year, and after any flooding or repair work on the wellhead.</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Water Quality Analyst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